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30AF0" w14:textId="20D5CA3E" w:rsidR="001263D0" w:rsidRPr="00F5763B" w:rsidRDefault="00835E4A">
      <w:pPr>
        <w:rPr>
          <w:lang w:val="pt-BR"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 wp14:anchorId="06731152" wp14:editId="06731153">
            <wp:extent cx="203200" cy="177800"/>
            <wp:effectExtent l="0" t="0" r="0" b="0"/>
            <wp:docPr id="31" name="image22.png" descr="BT_1000x858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BT_1000x858px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5763B">
        <w:rPr>
          <w:lang w:val="pt-BR"/>
        </w:rPr>
        <w:t>Tento léčivý přípravek podléhá dalšímu sledování. To umožní rychlé získání nových informací o bezpečnosti. Žádáme zdravotnické pracovníky, aby hlásili jakákoli podezření na nežádoucí účinky. Podrobnosti o hlášení nežádoucích účinků viz bod 4.8.</w:t>
      </w:r>
    </w:p>
    <w:p w14:paraId="06730AF1" w14:textId="77777777" w:rsidR="001263D0" w:rsidRPr="00F5763B" w:rsidRDefault="001263D0">
      <w:pPr>
        <w:rPr>
          <w:lang w:val="pt-BR"/>
        </w:rPr>
      </w:pPr>
    </w:p>
    <w:p w14:paraId="06730AF2" w14:textId="77777777" w:rsidR="001263D0" w:rsidRPr="00F5763B" w:rsidRDefault="001263D0">
      <w:pPr>
        <w:rPr>
          <w:lang w:val="pt-BR"/>
        </w:rPr>
      </w:pPr>
    </w:p>
    <w:p w14:paraId="06730AF3" w14:textId="77777777" w:rsidR="001263D0" w:rsidRPr="00F5763B" w:rsidRDefault="00835E4A">
      <w:pPr>
        <w:ind w:left="567" w:hanging="567"/>
        <w:rPr>
          <w:lang w:val="pt-BR"/>
        </w:rPr>
      </w:pPr>
      <w:r w:rsidRPr="00F5763B">
        <w:rPr>
          <w:b/>
          <w:lang w:val="pt-BR"/>
        </w:rPr>
        <w:t>1.</w:t>
      </w:r>
      <w:r w:rsidRPr="00F5763B">
        <w:rPr>
          <w:b/>
          <w:lang w:val="pt-BR"/>
        </w:rPr>
        <w:tab/>
        <w:t>NÁZEV PŘÍPRAVKU</w:t>
      </w:r>
    </w:p>
    <w:p w14:paraId="06730AF4" w14:textId="77777777" w:rsidR="001263D0" w:rsidRPr="00F5763B" w:rsidRDefault="001263D0">
      <w:pPr>
        <w:rPr>
          <w:lang w:val="pt-BR"/>
        </w:rPr>
      </w:pPr>
    </w:p>
    <w:p w14:paraId="06730AF5" w14:textId="77777777" w:rsidR="001263D0" w:rsidRPr="00F5763B" w:rsidRDefault="00835E4A">
      <w:pPr>
        <w:widowControl w:val="0"/>
        <w:rPr>
          <w:lang w:val="pt-BR"/>
        </w:rPr>
      </w:pPr>
      <w:r w:rsidRPr="00F5763B">
        <w:rPr>
          <w:lang w:val="pt-BR"/>
        </w:rPr>
        <w:t>Evrysdi 0,75 mg/ml prášek pro perorální roztok</w:t>
      </w:r>
    </w:p>
    <w:p w14:paraId="06730AF6" w14:textId="77777777" w:rsidR="001263D0" w:rsidRPr="00F5763B" w:rsidRDefault="001263D0">
      <w:pPr>
        <w:rPr>
          <w:lang w:val="pt-BR"/>
        </w:rPr>
      </w:pPr>
    </w:p>
    <w:p w14:paraId="06730AF7" w14:textId="77777777" w:rsidR="001263D0" w:rsidRPr="00F5763B" w:rsidRDefault="001263D0">
      <w:pPr>
        <w:rPr>
          <w:lang w:val="pt-BR"/>
        </w:rPr>
      </w:pPr>
    </w:p>
    <w:p w14:paraId="06730AF8" w14:textId="77777777" w:rsidR="001263D0" w:rsidRPr="00F5763B" w:rsidRDefault="00835E4A">
      <w:pPr>
        <w:ind w:left="567" w:hanging="567"/>
        <w:rPr>
          <w:lang w:val="pt-BR"/>
        </w:rPr>
      </w:pPr>
      <w:r w:rsidRPr="00F5763B">
        <w:rPr>
          <w:b/>
          <w:lang w:val="pt-BR"/>
        </w:rPr>
        <w:t>2.</w:t>
      </w:r>
      <w:r w:rsidRPr="00F5763B">
        <w:rPr>
          <w:b/>
          <w:lang w:val="pt-BR"/>
        </w:rPr>
        <w:tab/>
        <w:t>KVALITATIVNÍ A KVANTITATIVNÍ SLOŽENÍ</w:t>
      </w:r>
    </w:p>
    <w:p w14:paraId="06730AF9" w14:textId="77777777" w:rsidR="001263D0" w:rsidRPr="00F5763B" w:rsidRDefault="001263D0">
      <w:pPr>
        <w:rPr>
          <w:lang w:val="pt-BR"/>
        </w:rPr>
      </w:pPr>
    </w:p>
    <w:p w14:paraId="06730AFA" w14:textId="77777777" w:rsidR="001263D0" w:rsidRPr="00F5763B" w:rsidRDefault="00835E4A">
      <w:pPr>
        <w:rPr>
          <w:lang w:val="pt-BR"/>
        </w:rPr>
      </w:pPr>
      <w:r w:rsidRPr="00F5763B">
        <w:rPr>
          <w:lang w:val="pt-BR"/>
        </w:rPr>
        <w:t>Jedna lahvička obsahuje risdiplamum 60 mg ve 2 g prášku pro perorální roztok.</w:t>
      </w:r>
    </w:p>
    <w:p w14:paraId="06730AFB" w14:textId="77777777" w:rsidR="001263D0" w:rsidRPr="00F5763B" w:rsidRDefault="001263D0">
      <w:pPr>
        <w:rPr>
          <w:lang w:val="pt-BR"/>
        </w:rPr>
      </w:pPr>
    </w:p>
    <w:p w14:paraId="06730AFC" w14:textId="77777777" w:rsidR="001263D0" w:rsidRPr="00F5763B" w:rsidRDefault="00835E4A">
      <w:pPr>
        <w:rPr>
          <w:lang w:val="pt-BR"/>
        </w:rPr>
      </w:pPr>
      <w:r w:rsidRPr="00F5763B">
        <w:rPr>
          <w:lang w:val="pt-BR"/>
        </w:rPr>
        <w:t>Jeden ml rekonstituovaného roztoku obsahuje risdiplamum 0,75 mg.</w:t>
      </w:r>
    </w:p>
    <w:p w14:paraId="06730AFD" w14:textId="77777777" w:rsidR="001263D0" w:rsidRPr="00F5763B" w:rsidRDefault="001263D0">
      <w:pPr>
        <w:rPr>
          <w:lang w:val="pt-BR"/>
        </w:rPr>
      </w:pPr>
    </w:p>
    <w:p w14:paraId="06730AFE" w14:textId="77777777" w:rsidR="00B91A03" w:rsidRPr="00F5763B" w:rsidRDefault="00B91A03" w:rsidP="00B91A03">
      <w:pPr>
        <w:rPr>
          <w:u w:val="single"/>
          <w:lang w:val="pt-BR"/>
        </w:rPr>
      </w:pPr>
      <w:r w:rsidRPr="00F5763B">
        <w:rPr>
          <w:u w:val="single"/>
          <w:lang w:val="pt-BR"/>
        </w:rPr>
        <w:t>Pomocné látky se známým účinkem</w:t>
      </w:r>
    </w:p>
    <w:p w14:paraId="06730AFF" w14:textId="77777777" w:rsidR="00B91A03" w:rsidRPr="00F5763B" w:rsidRDefault="00B91A03" w:rsidP="00B91A03">
      <w:pPr>
        <w:rPr>
          <w:lang w:val="pt-BR"/>
        </w:rPr>
      </w:pPr>
    </w:p>
    <w:p w14:paraId="06730B00" w14:textId="77777777" w:rsidR="0034410B" w:rsidRPr="00F5763B" w:rsidRDefault="00B91A03" w:rsidP="00B91A03">
      <w:pPr>
        <w:rPr>
          <w:lang w:val="pt-BR"/>
        </w:rPr>
      </w:pPr>
      <w:r w:rsidRPr="00F5763B">
        <w:rPr>
          <w:lang w:val="pt-BR"/>
        </w:rPr>
        <w:t xml:space="preserve">Jeden </w:t>
      </w:r>
      <w:r w:rsidR="00914B20" w:rsidRPr="00F5763B">
        <w:rPr>
          <w:lang w:val="pt-BR"/>
        </w:rPr>
        <w:t>ml</w:t>
      </w:r>
      <w:r w:rsidRPr="00F5763B">
        <w:rPr>
          <w:lang w:val="pt-BR"/>
        </w:rPr>
        <w:t xml:space="preserve"> roztoku obsahuje </w:t>
      </w:r>
      <w:r w:rsidR="008A676D" w:rsidRPr="00F5763B">
        <w:rPr>
          <w:lang w:val="pt-BR"/>
        </w:rPr>
        <w:t>0,38 mg natrium-</w:t>
      </w:r>
      <w:r w:rsidRPr="00F5763B">
        <w:rPr>
          <w:lang w:val="pt-BR"/>
        </w:rPr>
        <w:t>benzoát</w:t>
      </w:r>
      <w:r w:rsidR="008A676D" w:rsidRPr="00F5763B">
        <w:rPr>
          <w:lang w:val="pt-BR"/>
        </w:rPr>
        <w:t>u</w:t>
      </w:r>
      <w:r w:rsidRPr="00F5763B">
        <w:rPr>
          <w:lang w:val="pt-BR"/>
        </w:rPr>
        <w:t xml:space="preserve"> (E</w:t>
      </w:r>
      <w:r w:rsidR="008A676D" w:rsidRPr="00F5763B">
        <w:rPr>
          <w:lang w:val="pt-BR"/>
        </w:rPr>
        <w:t xml:space="preserve"> </w:t>
      </w:r>
      <w:r w:rsidRPr="00F5763B">
        <w:rPr>
          <w:lang w:val="pt-BR"/>
        </w:rPr>
        <w:t>211) a </w:t>
      </w:r>
      <w:r w:rsidR="008A676D" w:rsidRPr="00F5763B">
        <w:rPr>
          <w:lang w:val="pt-BR"/>
        </w:rPr>
        <w:t xml:space="preserve">2,97 mg </w:t>
      </w:r>
      <w:r w:rsidRPr="00F5763B">
        <w:rPr>
          <w:lang w:val="pt-BR"/>
        </w:rPr>
        <w:t>isomalt</w:t>
      </w:r>
      <w:r w:rsidR="008A676D" w:rsidRPr="00F5763B">
        <w:rPr>
          <w:lang w:val="pt-BR"/>
        </w:rPr>
        <w:t>u</w:t>
      </w:r>
      <w:r w:rsidR="009A256C" w:rsidRPr="00F5763B">
        <w:rPr>
          <w:lang w:val="pt-BR"/>
        </w:rPr>
        <w:t xml:space="preserve"> (E 953)</w:t>
      </w:r>
      <w:r w:rsidRPr="00F5763B">
        <w:rPr>
          <w:lang w:val="pt-BR"/>
        </w:rPr>
        <w:t>.</w:t>
      </w:r>
    </w:p>
    <w:p w14:paraId="06730B01" w14:textId="77777777" w:rsidR="001263D0" w:rsidRPr="00F5763B" w:rsidRDefault="00835E4A">
      <w:pPr>
        <w:rPr>
          <w:lang w:val="pt-BR"/>
        </w:rPr>
      </w:pPr>
      <w:r w:rsidRPr="00F5763B">
        <w:rPr>
          <w:lang w:val="pt-BR"/>
        </w:rPr>
        <w:t>Úplný seznam pomocných látek viz bod 6.1.</w:t>
      </w:r>
    </w:p>
    <w:p w14:paraId="06730B02" w14:textId="77777777" w:rsidR="001263D0" w:rsidRPr="00F5763B" w:rsidRDefault="001263D0">
      <w:pPr>
        <w:rPr>
          <w:lang w:val="pt-BR"/>
        </w:rPr>
      </w:pPr>
    </w:p>
    <w:p w14:paraId="06730B03" w14:textId="77777777" w:rsidR="001263D0" w:rsidRPr="00F5763B" w:rsidRDefault="001263D0">
      <w:pPr>
        <w:rPr>
          <w:lang w:val="pt-BR"/>
        </w:rPr>
      </w:pPr>
    </w:p>
    <w:p w14:paraId="06730B04" w14:textId="77777777" w:rsidR="001263D0" w:rsidRPr="00F5763B" w:rsidRDefault="00835E4A">
      <w:pPr>
        <w:ind w:left="567" w:hanging="567"/>
        <w:rPr>
          <w:smallCaps/>
          <w:lang w:val="pt-BR"/>
        </w:rPr>
      </w:pPr>
      <w:r w:rsidRPr="00F5763B">
        <w:rPr>
          <w:b/>
          <w:lang w:val="pt-BR"/>
        </w:rPr>
        <w:t>3.</w:t>
      </w:r>
      <w:r w:rsidRPr="00F5763B">
        <w:rPr>
          <w:b/>
          <w:lang w:val="pt-BR"/>
        </w:rPr>
        <w:tab/>
        <w:t>LÉKOVÁ FORMA</w:t>
      </w:r>
    </w:p>
    <w:p w14:paraId="06730B05" w14:textId="77777777" w:rsidR="001263D0" w:rsidRPr="00F5763B" w:rsidRDefault="001263D0">
      <w:pPr>
        <w:rPr>
          <w:lang w:val="pt-BR"/>
        </w:rPr>
      </w:pPr>
    </w:p>
    <w:p w14:paraId="06730B06" w14:textId="292BD695" w:rsidR="001263D0" w:rsidRPr="00F5763B" w:rsidRDefault="009A256C">
      <w:pPr>
        <w:rPr>
          <w:lang w:val="pt-BR"/>
        </w:rPr>
      </w:pPr>
      <w:r w:rsidRPr="00F5763B">
        <w:rPr>
          <w:lang w:val="pt-BR"/>
        </w:rPr>
        <w:t>P</w:t>
      </w:r>
      <w:r w:rsidR="00835E4A" w:rsidRPr="00F5763B">
        <w:rPr>
          <w:lang w:val="pt-BR"/>
        </w:rPr>
        <w:t>rášek pro perorální roztok</w:t>
      </w:r>
      <w:r w:rsidR="000D297F" w:rsidRPr="00F5763B">
        <w:rPr>
          <w:lang w:val="pt-BR"/>
        </w:rPr>
        <w:t>.</w:t>
      </w:r>
      <w:r w:rsidR="00B91A03" w:rsidRPr="00F5763B">
        <w:rPr>
          <w:lang w:val="pt-BR"/>
        </w:rPr>
        <w:t xml:space="preserve"> </w:t>
      </w:r>
      <w:r w:rsidR="001B54CF">
        <w:rPr>
          <w:lang w:val="pt-BR"/>
        </w:rPr>
        <w:t>Světle žlutý</w:t>
      </w:r>
      <w:r w:rsidR="001A2D80" w:rsidRPr="00F5763B">
        <w:rPr>
          <w:lang w:val="pt-BR"/>
        </w:rPr>
        <w:t xml:space="preserve">, žlutý, šedožlutý, zelenožlutý nebo </w:t>
      </w:r>
      <w:r w:rsidR="001B54CF">
        <w:rPr>
          <w:lang w:val="pt-BR"/>
        </w:rPr>
        <w:t>světle zelený</w:t>
      </w:r>
      <w:r w:rsidR="001A2D80" w:rsidRPr="00F5763B">
        <w:rPr>
          <w:lang w:val="pt-BR"/>
        </w:rPr>
        <w:t xml:space="preserve"> prášek</w:t>
      </w:r>
      <w:r w:rsidR="00835E4A" w:rsidRPr="00F5763B">
        <w:rPr>
          <w:lang w:val="pt-BR"/>
        </w:rPr>
        <w:t>.</w:t>
      </w:r>
    </w:p>
    <w:p w14:paraId="06730B07" w14:textId="77777777" w:rsidR="001263D0" w:rsidRPr="00F5763B" w:rsidRDefault="001263D0">
      <w:pPr>
        <w:rPr>
          <w:lang w:val="pt-BR"/>
        </w:rPr>
      </w:pPr>
    </w:p>
    <w:p w14:paraId="06730B08" w14:textId="77777777" w:rsidR="001263D0" w:rsidRPr="00F5763B" w:rsidRDefault="001263D0">
      <w:pPr>
        <w:rPr>
          <w:lang w:val="pt-BR"/>
        </w:rPr>
      </w:pPr>
    </w:p>
    <w:p w14:paraId="06730B09" w14:textId="77777777" w:rsidR="001263D0" w:rsidRPr="00F5763B" w:rsidRDefault="00835E4A">
      <w:pPr>
        <w:ind w:left="567" w:hanging="567"/>
        <w:rPr>
          <w:smallCaps/>
          <w:lang w:val="pt-BR"/>
        </w:rPr>
      </w:pPr>
      <w:r w:rsidRPr="00F5763B">
        <w:rPr>
          <w:b/>
          <w:smallCaps/>
          <w:lang w:val="pt-BR"/>
        </w:rPr>
        <w:t>4.</w:t>
      </w:r>
      <w:r w:rsidRPr="00F5763B">
        <w:rPr>
          <w:b/>
          <w:smallCaps/>
          <w:lang w:val="pt-BR"/>
        </w:rPr>
        <w:tab/>
      </w:r>
      <w:r w:rsidRPr="00F5763B">
        <w:rPr>
          <w:b/>
          <w:lang w:val="pt-BR"/>
        </w:rPr>
        <w:t>KLINICKÉ ÚDAJE</w:t>
      </w:r>
    </w:p>
    <w:p w14:paraId="06730B0A" w14:textId="77777777" w:rsidR="001263D0" w:rsidRPr="00F5763B" w:rsidRDefault="001263D0">
      <w:pPr>
        <w:rPr>
          <w:lang w:val="pt-BR"/>
        </w:rPr>
      </w:pPr>
    </w:p>
    <w:p w14:paraId="06730B0B" w14:textId="77777777" w:rsidR="001263D0" w:rsidRPr="00F5763B" w:rsidRDefault="00835E4A">
      <w:pPr>
        <w:ind w:left="567" w:hanging="567"/>
        <w:rPr>
          <w:lang w:val="pt-BR"/>
        </w:rPr>
      </w:pPr>
      <w:r w:rsidRPr="00F5763B">
        <w:rPr>
          <w:b/>
          <w:lang w:val="pt-BR"/>
        </w:rPr>
        <w:t>4.1</w:t>
      </w:r>
      <w:r w:rsidRPr="00F5763B">
        <w:rPr>
          <w:b/>
          <w:lang w:val="pt-BR"/>
        </w:rPr>
        <w:tab/>
        <w:t>Terapeutické indikace</w:t>
      </w:r>
    </w:p>
    <w:p w14:paraId="06730B0C" w14:textId="77777777" w:rsidR="001263D0" w:rsidRPr="00F5763B" w:rsidRDefault="001263D0">
      <w:pPr>
        <w:rPr>
          <w:lang w:val="pt-BR"/>
        </w:rPr>
      </w:pPr>
    </w:p>
    <w:p w14:paraId="06730B0D" w14:textId="11D3E587" w:rsidR="001263D0" w:rsidRPr="00F5763B" w:rsidRDefault="00835E4A">
      <w:pPr>
        <w:rPr>
          <w:color w:val="000000"/>
          <w:lang w:val="pt-BR"/>
        </w:rPr>
      </w:pPr>
      <w:r w:rsidRPr="00F5763B">
        <w:rPr>
          <w:color w:val="000000"/>
          <w:lang w:val="pt-BR"/>
        </w:rPr>
        <w:t>Přípravek Evrysdi je indikován k léčbě spinální svalové atrofie (SMA)</w:t>
      </w:r>
      <w:r w:rsidR="001A2D80" w:rsidRPr="00F5763B">
        <w:rPr>
          <w:color w:val="000000"/>
          <w:lang w:val="pt-BR"/>
        </w:rPr>
        <w:t xml:space="preserve"> </w:t>
      </w:r>
      <w:r w:rsidR="001B54CF" w:rsidRPr="00721B88">
        <w:rPr>
          <w:color w:val="000000"/>
          <w:lang w:val="pt-BR"/>
        </w:rPr>
        <w:t>vázané na dlouhé raménko 5. chromozomu</w:t>
      </w:r>
      <w:r w:rsidR="001B54CF" w:rsidRPr="00F5763B">
        <w:rPr>
          <w:color w:val="000000"/>
          <w:lang w:val="pt-BR"/>
        </w:rPr>
        <w:t xml:space="preserve"> </w:t>
      </w:r>
      <w:r w:rsidR="001A2D80" w:rsidRPr="00F5763B">
        <w:rPr>
          <w:color w:val="000000"/>
          <w:lang w:val="pt-BR"/>
        </w:rPr>
        <w:t xml:space="preserve">u pacientů </w:t>
      </w:r>
      <w:r w:rsidR="001B54CF">
        <w:rPr>
          <w:color w:val="000000"/>
          <w:lang w:val="pt-BR"/>
        </w:rPr>
        <w:t xml:space="preserve">ve věku </w:t>
      </w:r>
      <w:r w:rsidR="00875570" w:rsidRPr="00F5763B">
        <w:rPr>
          <w:color w:val="000000"/>
          <w:lang w:val="pt-BR"/>
        </w:rPr>
        <w:t>od</w:t>
      </w:r>
      <w:r w:rsidR="001A2D80" w:rsidRPr="00F5763B">
        <w:rPr>
          <w:color w:val="000000"/>
          <w:lang w:val="pt-BR"/>
        </w:rPr>
        <w:t xml:space="preserve"> 2 měsíců</w:t>
      </w:r>
      <w:r w:rsidR="009A256C" w:rsidRPr="00F5763B">
        <w:rPr>
          <w:color w:val="000000"/>
          <w:lang w:val="pt-BR"/>
        </w:rPr>
        <w:t xml:space="preserve"> </w:t>
      </w:r>
      <w:r w:rsidR="001F3763" w:rsidRPr="00F5763B">
        <w:rPr>
          <w:color w:val="000000"/>
          <w:lang w:val="pt-BR"/>
        </w:rPr>
        <w:t xml:space="preserve">s klinickou diagnózou SMA 1. typu, 2. typu nebo 3. typu nebo </w:t>
      </w:r>
      <w:r w:rsidR="009A256C" w:rsidRPr="00F5763B">
        <w:rPr>
          <w:color w:val="000000"/>
          <w:lang w:val="pt-BR"/>
        </w:rPr>
        <w:t xml:space="preserve">s jednou až čtyřmi kopiemi </w:t>
      </w:r>
      <w:r w:rsidR="001B54CF">
        <w:rPr>
          <w:color w:val="000000"/>
          <w:lang w:val="pt-BR"/>
        </w:rPr>
        <w:t xml:space="preserve">genu </w:t>
      </w:r>
      <w:r w:rsidR="009A256C" w:rsidRPr="00F5763B">
        <w:rPr>
          <w:i/>
          <w:color w:val="000000"/>
          <w:lang w:val="pt-BR"/>
        </w:rPr>
        <w:t>SMN2</w:t>
      </w:r>
      <w:r w:rsidRPr="00F5763B">
        <w:rPr>
          <w:color w:val="000000"/>
          <w:lang w:val="pt-BR"/>
        </w:rPr>
        <w:t>.</w:t>
      </w:r>
    </w:p>
    <w:p w14:paraId="06730B0E" w14:textId="77777777" w:rsidR="001263D0" w:rsidRPr="00F5763B" w:rsidRDefault="001263D0">
      <w:pPr>
        <w:rPr>
          <w:lang w:val="pt-BR"/>
        </w:rPr>
      </w:pPr>
    </w:p>
    <w:p w14:paraId="06730B0F" w14:textId="77777777" w:rsidR="001263D0" w:rsidRPr="00F5763B" w:rsidRDefault="00835E4A" w:rsidP="00960A95">
      <w:pPr>
        <w:ind w:left="567" w:hanging="567"/>
        <w:rPr>
          <w:b/>
          <w:lang w:val="pt-BR"/>
        </w:rPr>
      </w:pPr>
      <w:r w:rsidRPr="00F5763B">
        <w:rPr>
          <w:b/>
          <w:lang w:val="pt-BR"/>
        </w:rPr>
        <w:t>4.2</w:t>
      </w:r>
      <w:r w:rsidRPr="00F5763B">
        <w:rPr>
          <w:b/>
          <w:lang w:val="pt-BR"/>
        </w:rPr>
        <w:tab/>
        <w:t>Dávkování a způsob podání</w:t>
      </w:r>
    </w:p>
    <w:p w14:paraId="06730B10" w14:textId="77777777" w:rsidR="001263D0" w:rsidRPr="00F5763B" w:rsidRDefault="001263D0">
      <w:pPr>
        <w:rPr>
          <w:lang w:val="pt-BR"/>
        </w:rPr>
      </w:pPr>
    </w:p>
    <w:p w14:paraId="06730B11" w14:textId="080D0FA6" w:rsidR="001263D0" w:rsidRPr="00F5763B" w:rsidRDefault="00835E4A">
      <w:pPr>
        <w:rPr>
          <w:lang w:val="pt-BR"/>
        </w:rPr>
      </w:pPr>
      <w:bookmarkStart w:id="1" w:name="_Hlk60988313"/>
      <w:r w:rsidRPr="00F5763B">
        <w:rPr>
          <w:lang w:val="pt-BR"/>
        </w:rPr>
        <w:t>Léčb</w:t>
      </w:r>
      <w:r w:rsidR="001B54CF">
        <w:rPr>
          <w:lang w:val="pt-BR"/>
        </w:rPr>
        <w:t>a</w:t>
      </w:r>
      <w:r w:rsidRPr="00F5763B">
        <w:rPr>
          <w:lang w:val="pt-BR"/>
        </w:rPr>
        <w:t xml:space="preserve"> přípravkem Evrysdi má </w:t>
      </w:r>
      <w:r w:rsidR="001B54CF">
        <w:rPr>
          <w:lang w:val="pt-BR"/>
        </w:rPr>
        <w:t>být zahájena</w:t>
      </w:r>
      <w:r w:rsidRPr="00F5763B">
        <w:rPr>
          <w:lang w:val="pt-BR"/>
        </w:rPr>
        <w:t xml:space="preserve"> lékař</w:t>
      </w:r>
      <w:r w:rsidR="001B54CF">
        <w:rPr>
          <w:lang w:val="pt-BR"/>
        </w:rPr>
        <w:t>em</w:t>
      </w:r>
      <w:r w:rsidRPr="00F5763B">
        <w:rPr>
          <w:lang w:val="pt-BR"/>
        </w:rPr>
        <w:t xml:space="preserve"> s</w:t>
      </w:r>
      <w:r w:rsidR="001B54CF">
        <w:rPr>
          <w:lang w:val="pt-BR"/>
        </w:rPr>
        <w:t>e zkušenostmi</w:t>
      </w:r>
      <w:r w:rsidRPr="00F5763B">
        <w:rPr>
          <w:lang w:val="pt-BR"/>
        </w:rPr>
        <w:t xml:space="preserve"> </w:t>
      </w:r>
      <w:r w:rsidR="001B54CF">
        <w:rPr>
          <w:lang w:val="pt-BR"/>
        </w:rPr>
        <w:t>s</w:t>
      </w:r>
      <w:r w:rsidR="001B54CF" w:rsidRPr="00F5763B">
        <w:rPr>
          <w:lang w:val="pt-BR"/>
        </w:rPr>
        <w:t> </w:t>
      </w:r>
      <w:r w:rsidRPr="00F5763B">
        <w:rPr>
          <w:lang w:val="pt-BR"/>
        </w:rPr>
        <w:t>léčb</w:t>
      </w:r>
      <w:r w:rsidR="001B54CF">
        <w:rPr>
          <w:lang w:val="pt-BR"/>
        </w:rPr>
        <w:t>ou</w:t>
      </w:r>
      <w:r w:rsidRPr="00F5763B">
        <w:rPr>
          <w:lang w:val="pt-BR"/>
        </w:rPr>
        <w:t xml:space="preserve"> SMA.</w:t>
      </w:r>
    </w:p>
    <w:bookmarkEnd w:id="1"/>
    <w:p w14:paraId="06730B12" w14:textId="77777777" w:rsidR="001263D0" w:rsidRPr="00F5763B" w:rsidRDefault="001263D0">
      <w:pPr>
        <w:rPr>
          <w:lang w:val="pt-BR"/>
        </w:rPr>
      </w:pPr>
    </w:p>
    <w:p w14:paraId="06730B13" w14:textId="77777777" w:rsidR="001263D0" w:rsidRPr="00F5763B" w:rsidRDefault="00835E4A">
      <w:pPr>
        <w:rPr>
          <w:u w:val="single"/>
          <w:lang w:val="pt-BR"/>
        </w:rPr>
      </w:pPr>
      <w:r w:rsidRPr="00F5763B">
        <w:rPr>
          <w:u w:val="single"/>
          <w:lang w:val="pt-BR"/>
        </w:rPr>
        <w:t>Dávkování</w:t>
      </w:r>
    </w:p>
    <w:p w14:paraId="06730B14" w14:textId="77777777" w:rsidR="001263D0" w:rsidRPr="00F5763B" w:rsidRDefault="001263D0">
      <w:pPr>
        <w:rPr>
          <w:lang w:val="pt-BR"/>
        </w:rPr>
      </w:pPr>
    </w:p>
    <w:p w14:paraId="06730B15" w14:textId="556E38EE" w:rsidR="001263D0" w:rsidRPr="00F5763B" w:rsidRDefault="00835E4A">
      <w:pPr>
        <w:rPr>
          <w:lang w:val="pt-BR"/>
        </w:rPr>
      </w:pPr>
      <w:r w:rsidRPr="00F5763B">
        <w:rPr>
          <w:lang w:val="pt-BR"/>
        </w:rPr>
        <w:t>Doporučená denní dávka přípravku Evrysdi se stanoví podle věku a tělesné hmotnosti pacienta (viz tabulka 1).</w:t>
      </w:r>
      <w:r w:rsidR="00232B19" w:rsidRPr="00F5763B">
        <w:rPr>
          <w:lang w:val="pt-BR"/>
        </w:rPr>
        <w:t xml:space="preserve"> Přípravek Evrysdi se podává </w:t>
      </w:r>
      <w:r w:rsidR="001B54CF">
        <w:rPr>
          <w:lang w:val="pt-BR"/>
        </w:rPr>
        <w:t>perorálně</w:t>
      </w:r>
      <w:r w:rsidR="001B54CF" w:rsidRPr="00F5763B">
        <w:rPr>
          <w:lang w:val="pt-BR"/>
        </w:rPr>
        <w:t xml:space="preserve"> </w:t>
      </w:r>
      <w:r w:rsidR="00232B19" w:rsidRPr="00F5763B">
        <w:rPr>
          <w:lang w:val="pt-BR"/>
        </w:rPr>
        <w:t xml:space="preserve">jednou denně po jídle vždy přibližně ve stejnou </w:t>
      </w:r>
      <w:r w:rsidR="001B54CF">
        <w:rPr>
          <w:lang w:val="pt-BR"/>
        </w:rPr>
        <w:t xml:space="preserve">denní </w:t>
      </w:r>
      <w:r w:rsidR="00232B19" w:rsidRPr="00F5763B">
        <w:rPr>
          <w:lang w:val="pt-BR"/>
        </w:rPr>
        <w:t>dobu.</w:t>
      </w:r>
    </w:p>
    <w:p w14:paraId="06730B16" w14:textId="77777777" w:rsidR="001263D0" w:rsidRPr="00F5763B" w:rsidRDefault="001263D0">
      <w:pPr>
        <w:rPr>
          <w:lang w:val="pt-BR"/>
        </w:rPr>
      </w:pPr>
    </w:p>
    <w:p w14:paraId="06730B17" w14:textId="4E03D586" w:rsidR="001263D0" w:rsidRDefault="00835E4A" w:rsidP="00721B88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rPr>
          <w:color w:val="000000"/>
          <w:lang w:val="pt-BR"/>
        </w:rPr>
      </w:pPr>
      <w:r w:rsidRPr="00F5763B">
        <w:rPr>
          <w:b/>
          <w:color w:val="000000"/>
          <w:lang w:val="pt-BR"/>
        </w:rPr>
        <w:t xml:space="preserve">Tabulka 1. </w:t>
      </w:r>
      <w:r w:rsidRPr="00F5763B">
        <w:rPr>
          <w:color w:val="000000"/>
          <w:lang w:val="pt-BR"/>
        </w:rPr>
        <w:t>Dávkovací režim podle věku a tělesné hmotnosti</w:t>
      </w:r>
    </w:p>
    <w:p w14:paraId="04236268" w14:textId="77777777" w:rsidR="00B83A4A" w:rsidRPr="00F5763B" w:rsidRDefault="00B83A4A" w:rsidP="00721B88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rPr>
          <w:b/>
          <w:color w:val="000000"/>
          <w:lang w:val="pt-BR"/>
        </w:rPr>
      </w:pPr>
    </w:p>
    <w:tbl>
      <w:tblPr>
        <w:tblStyle w:val="a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3864"/>
      </w:tblGrid>
      <w:tr w:rsidR="001263D0" w14:paraId="06730B1A" w14:textId="77777777">
        <w:trPr>
          <w:jc w:val="center"/>
        </w:trPr>
        <w:tc>
          <w:tcPr>
            <w:tcW w:w="5197" w:type="dxa"/>
          </w:tcPr>
          <w:p w14:paraId="06730B18" w14:textId="77777777" w:rsidR="001263D0" w:rsidRDefault="00835E4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266" w:firstLine="266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Věk a tělesná hmotnost</w:t>
            </w:r>
          </w:p>
        </w:tc>
        <w:tc>
          <w:tcPr>
            <w:tcW w:w="3864" w:type="dxa"/>
            <w:shd w:val="clear" w:color="auto" w:fill="auto"/>
          </w:tcPr>
          <w:p w14:paraId="06730B19" w14:textId="77777777" w:rsidR="001263D0" w:rsidRDefault="00835E4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Doporučená denní dávka</w:t>
            </w:r>
          </w:p>
        </w:tc>
      </w:tr>
      <w:tr w:rsidR="001263D0" w14:paraId="06730B1D" w14:textId="77777777">
        <w:trPr>
          <w:jc w:val="center"/>
        </w:trPr>
        <w:tc>
          <w:tcPr>
            <w:tcW w:w="5197" w:type="dxa"/>
          </w:tcPr>
          <w:p w14:paraId="06730B1B" w14:textId="77777777" w:rsidR="001263D0" w:rsidRDefault="00835E4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266" w:firstLine="26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měsíce až &lt; 2 roky </w:t>
            </w:r>
          </w:p>
        </w:tc>
        <w:tc>
          <w:tcPr>
            <w:tcW w:w="3864" w:type="dxa"/>
            <w:shd w:val="clear" w:color="auto" w:fill="auto"/>
          </w:tcPr>
          <w:p w14:paraId="06730B1C" w14:textId="77777777" w:rsidR="001263D0" w:rsidRDefault="00835E4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0,20 mg/kg</w:t>
            </w:r>
          </w:p>
        </w:tc>
      </w:tr>
      <w:tr w:rsidR="001263D0" w:rsidRPr="000B0213" w14:paraId="06730B20" w14:textId="77777777">
        <w:trPr>
          <w:jc w:val="center"/>
        </w:trPr>
        <w:tc>
          <w:tcPr>
            <w:tcW w:w="5197" w:type="dxa"/>
          </w:tcPr>
          <w:p w14:paraId="06730B1E" w14:textId="77777777" w:rsidR="001263D0" w:rsidRPr="000B0213" w:rsidRDefault="00835E4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25"/>
              <w:jc w:val="center"/>
              <w:rPr>
                <w:color w:val="000000"/>
              </w:rPr>
            </w:pPr>
            <w:r w:rsidRPr="00C32ED0">
              <w:rPr>
                <w:rFonts w:eastAsia="Gungsuh"/>
                <w:color w:val="000000"/>
              </w:rPr>
              <w:t>≥ 2 roky (&lt; 20 kg)</w:t>
            </w:r>
          </w:p>
        </w:tc>
        <w:tc>
          <w:tcPr>
            <w:tcW w:w="3864" w:type="dxa"/>
            <w:shd w:val="clear" w:color="auto" w:fill="auto"/>
          </w:tcPr>
          <w:p w14:paraId="06730B1F" w14:textId="77777777" w:rsidR="001263D0" w:rsidRPr="00491D9D" w:rsidRDefault="00835E4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2BE2">
              <w:rPr>
                <w:color w:val="000000"/>
              </w:rPr>
              <w:t>0,25 mg/kg</w:t>
            </w:r>
          </w:p>
        </w:tc>
      </w:tr>
      <w:tr w:rsidR="001263D0" w:rsidRPr="000B0213" w14:paraId="06730B23" w14:textId="77777777">
        <w:trPr>
          <w:trHeight w:val="258"/>
          <w:jc w:val="center"/>
        </w:trPr>
        <w:tc>
          <w:tcPr>
            <w:tcW w:w="5197" w:type="dxa"/>
          </w:tcPr>
          <w:p w14:paraId="06730B21" w14:textId="77777777" w:rsidR="001263D0" w:rsidRPr="000B0213" w:rsidRDefault="00835E4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32ED0">
              <w:rPr>
                <w:rFonts w:eastAsia="Gungsuh"/>
                <w:color w:val="000000"/>
              </w:rPr>
              <w:t>≥ 2 roky (≥ 20 kg)</w:t>
            </w:r>
          </w:p>
        </w:tc>
        <w:tc>
          <w:tcPr>
            <w:tcW w:w="3864" w:type="dxa"/>
            <w:shd w:val="clear" w:color="auto" w:fill="auto"/>
          </w:tcPr>
          <w:p w14:paraId="06730B22" w14:textId="77777777" w:rsidR="001263D0" w:rsidRPr="00491D9D" w:rsidRDefault="00835E4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2BE2">
              <w:rPr>
                <w:color w:val="000000"/>
              </w:rPr>
              <w:t xml:space="preserve">5 mg </w:t>
            </w:r>
          </w:p>
        </w:tc>
      </w:tr>
    </w:tbl>
    <w:p w14:paraId="06730B24" w14:textId="77777777" w:rsidR="001263D0" w:rsidRDefault="001263D0"/>
    <w:p w14:paraId="06730B25" w14:textId="008ADBA1" w:rsidR="001263D0" w:rsidRDefault="00835E4A">
      <w:r>
        <w:t xml:space="preserve">Léčba denní dávkou vyšší než 5 mg nebyla </w:t>
      </w:r>
      <w:r w:rsidR="001C0D45">
        <w:t>studována</w:t>
      </w:r>
      <w:r>
        <w:t>.</w:t>
      </w:r>
    </w:p>
    <w:p w14:paraId="06730B26" w14:textId="77777777" w:rsidR="001263D0" w:rsidRDefault="001263D0">
      <w:pPr>
        <w:rPr>
          <w:u w:val="single"/>
        </w:rPr>
      </w:pPr>
    </w:p>
    <w:p w14:paraId="06730B27" w14:textId="77777777" w:rsidR="001263D0" w:rsidRDefault="00835E4A" w:rsidP="00721B88">
      <w:pPr>
        <w:keepNext/>
        <w:keepLines/>
        <w:rPr>
          <w:i/>
        </w:rPr>
      </w:pPr>
      <w:r>
        <w:rPr>
          <w:i/>
        </w:rPr>
        <w:lastRenderedPageBreak/>
        <w:t>Opožděné nebo vynechané dávky</w:t>
      </w:r>
    </w:p>
    <w:p w14:paraId="06730B28" w14:textId="77777777" w:rsidR="001263D0" w:rsidRDefault="00835E4A" w:rsidP="00721B88">
      <w:pPr>
        <w:keepNext/>
        <w:keepLines/>
      </w:pPr>
      <w:r>
        <w:t xml:space="preserve">V případě vynechání plánované dávky </w:t>
      </w:r>
      <w:r w:rsidR="00232B19">
        <w:t xml:space="preserve">je třeba </w:t>
      </w:r>
      <w:r>
        <w:t>pod</w:t>
      </w:r>
      <w:r w:rsidR="00232B19">
        <w:t>at</w:t>
      </w:r>
      <w:r>
        <w:t xml:space="preserve"> vynechanou dávku co nejdříve, jestliže </w:t>
      </w:r>
      <w:proofErr w:type="gramStart"/>
      <w:r>
        <w:t>od</w:t>
      </w:r>
      <w:proofErr w:type="gramEnd"/>
      <w:r>
        <w:t xml:space="preserve"> plánované doby podání neuplynulo 6 hodin. V opačném případě </w:t>
      </w:r>
      <w:r w:rsidR="000E3A5C">
        <w:t xml:space="preserve">je třeba </w:t>
      </w:r>
      <w:r>
        <w:t xml:space="preserve">vynechanou dávku </w:t>
      </w:r>
      <w:r w:rsidR="000E3A5C">
        <w:t xml:space="preserve">vynechat </w:t>
      </w:r>
      <w:r>
        <w:t>a další dávku pod</w:t>
      </w:r>
      <w:r w:rsidR="000E3A5C">
        <w:t>at</w:t>
      </w:r>
      <w:r>
        <w:t xml:space="preserve"> další den </w:t>
      </w:r>
      <w:proofErr w:type="gramStart"/>
      <w:r>
        <w:t>v pravidelném plánovaném čase</w:t>
      </w:r>
      <w:proofErr w:type="gramEnd"/>
      <w:r>
        <w:t>.</w:t>
      </w:r>
    </w:p>
    <w:p w14:paraId="06730B29" w14:textId="77777777" w:rsidR="001263D0" w:rsidRDefault="001263D0"/>
    <w:p w14:paraId="06730B2A" w14:textId="77777777" w:rsidR="001263D0" w:rsidRDefault="00835E4A">
      <w:r>
        <w:t xml:space="preserve">Pokud nedojde k polknutí celé dávky </w:t>
      </w:r>
      <w:r w:rsidR="000E3A5C">
        <w:t xml:space="preserve">přípravku Evrysdi </w:t>
      </w:r>
      <w:r>
        <w:t xml:space="preserve">nebo pokud dojde po podání dávky ke zvracení, </w:t>
      </w:r>
      <w:r w:rsidR="0090794E">
        <w:t>není třeba podávat</w:t>
      </w:r>
      <w:r>
        <w:t xml:space="preserve"> další dávku k doplnění objemu dávky. Další dávku </w:t>
      </w:r>
      <w:r w:rsidR="00232B19">
        <w:t xml:space="preserve">je třeba </w:t>
      </w:r>
      <w:r>
        <w:t>pod</w:t>
      </w:r>
      <w:r w:rsidR="00232B19">
        <w:t>at</w:t>
      </w:r>
      <w:r>
        <w:t xml:space="preserve"> v pravidelném plánovaném čase.</w:t>
      </w:r>
    </w:p>
    <w:p w14:paraId="06730B2B" w14:textId="77777777" w:rsidR="001263D0" w:rsidRDefault="001263D0"/>
    <w:p w14:paraId="06730B2C" w14:textId="77777777" w:rsidR="001263D0" w:rsidRDefault="00835E4A">
      <w:pPr>
        <w:rPr>
          <w:i/>
        </w:rPr>
      </w:pPr>
      <w:r>
        <w:rPr>
          <w:i/>
        </w:rPr>
        <w:t xml:space="preserve">Starší pacienti </w:t>
      </w:r>
    </w:p>
    <w:p w14:paraId="06730B2D" w14:textId="42E2113A" w:rsidR="00336222" w:rsidRDefault="0090794E">
      <w:r>
        <w:t xml:space="preserve">U starších pacientů </w:t>
      </w:r>
      <w:r w:rsidRPr="00336222">
        <w:t xml:space="preserve">se nevyžaduje </w:t>
      </w:r>
      <w:r w:rsidR="00783B22">
        <w:t xml:space="preserve">žádná </w:t>
      </w:r>
      <w:r w:rsidRPr="00336222">
        <w:t>úprava dávkování</w:t>
      </w:r>
      <w:r w:rsidR="001C0D45">
        <w:t xml:space="preserve"> </w:t>
      </w:r>
      <w:proofErr w:type="gramStart"/>
      <w:r w:rsidR="00107577">
        <w:t>na</w:t>
      </w:r>
      <w:proofErr w:type="gramEnd"/>
      <w:r w:rsidR="00107577">
        <w:t xml:space="preserve"> </w:t>
      </w:r>
      <w:r w:rsidR="001C0D45">
        <w:t>základě omezených</w:t>
      </w:r>
      <w:r>
        <w:t xml:space="preserve"> </w:t>
      </w:r>
      <w:r w:rsidR="001C0D45">
        <w:t>ú</w:t>
      </w:r>
      <w:r>
        <w:t>daj</w:t>
      </w:r>
      <w:r w:rsidR="001C0D45">
        <w:t>ů</w:t>
      </w:r>
      <w:r w:rsidRPr="00336222">
        <w:t xml:space="preserve"> </w:t>
      </w:r>
      <w:r w:rsidR="001C0D45">
        <w:t>u</w:t>
      </w:r>
      <w:r w:rsidRPr="00336222">
        <w:t xml:space="preserve"> pacient</w:t>
      </w:r>
      <w:r w:rsidR="001C0D45">
        <w:t>ů</w:t>
      </w:r>
      <w:r w:rsidRPr="00336222">
        <w:t xml:space="preserve"> </w:t>
      </w:r>
      <w:r>
        <w:t>nad</w:t>
      </w:r>
      <w:r w:rsidRPr="00336222">
        <w:t xml:space="preserve"> 65 let</w:t>
      </w:r>
      <w:r>
        <w:t xml:space="preserve"> </w:t>
      </w:r>
      <w:r w:rsidR="00522DD6">
        <w:t>(viz bod 5.2)</w:t>
      </w:r>
      <w:r>
        <w:t xml:space="preserve">.   </w:t>
      </w:r>
    </w:p>
    <w:p w14:paraId="06730B2E" w14:textId="77777777" w:rsidR="001263D0" w:rsidRDefault="001263D0"/>
    <w:p w14:paraId="06730B2F" w14:textId="77777777" w:rsidR="001263D0" w:rsidRDefault="00835E4A">
      <w:pPr>
        <w:rPr>
          <w:i/>
        </w:rPr>
      </w:pPr>
      <w:r>
        <w:rPr>
          <w:i/>
        </w:rPr>
        <w:t>Porucha funkce ledvin</w:t>
      </w:r>
    </w:p>
    <w:p w14:paraId="06730B30" w14:textId="270F43E3" w:rsidR="001263D0" w:rsidRDefault="00835E4A">
      <w:r>
        <w:t xml:space="preserve">Risdiplam nebyl </w:t>
      </w:r>
      <w:r w:rsidR="000D0BC5">
        <w:t>u</w:t>
      </w:r>
      <w:r>
        <w:t> této populac</w:t>
      </w:r>
      <w:r w:rsidR="000D0BC5">
        <w:t>e</w:t>
      </w:r>
      <w:r>
        <w:t xml:space="preserve"> </w:t>
      </w:r>
      <w:r w:rsidR="000D0BC5">
        <w:t>studován</w:t>
      </w:r>
      <w:r>
        <w:t xml:space="preserve">. U pacientů s poruchou funkce ledvin se </w:t>
      </w:r>
      <w:r w:rsidR="000D0BC5">
        <w:t>nepředpokládá</w:t>
      </w:r>
      <w:r>
        <w:t xml:space="preserve"> žádn</w:t>
      </w:r>
      <w:r w:rsidR="000D0BC5">
        <w:t>ý</w:t>
      </w:r>
      <w:r>
        <w:t xml:space="preserve"> </w:t>
      </w:r>
      <w:r w:rsidR="000D0BC5">
        <w:t xml:space="preserve">požadavek </w:t>
      </w:r>
      <w:proofErr w:type="gramStart"/>
      <w:r w:rsidR="000D0BC5">
        <w:t>na</w:t>
      </w:r>
      <w:proofErr w:type="gramEnd"/>
      <w:r w:rsidR="000D0BC5">
        <w:t xml:space="preserve"> </w:t>
      </w:r>
      <w:r>
        <w:t>úprav</w:t>
      </w:r>
      <w:r w:rsidR="000D0BC5">
        <w:t>u</w:t>
      </w:r>
      <w:r>
        <w:t xml:space="preserve"> dávkování (viz bod 5.2).</w:t>
      </w:r>
    </w:p>
    <w:p w14:paraId="06730B31" w14:textId="77777777" w:rsidR="001263D0" w:rsidRDefault="001263D0">
      <w:pPr>
        <w:rPr>
          <w:i/>
        </w:rPr>
      </w:pPr>
    </w:p>
    <w:p w14:paraId="06730B32" w14:textId="77777777" w:rsidR="001263D0" w:rsidRDefault="00835E4A">
      <w:pPr>
        <w:rPr>
          <w:i/>
        </w:rPr>
      </w:pPr>
      <w:r>
        <w:rPr>
          <w:i/>
        </w:rPr>
        <w:t xml:space="preserve">Porucha funkce jater </w:t>
      </w:r>
    </w:p>
    <w:p w14:paraId="06730B33" w14:textId="0FAC10D1" w:rsidR="001263D0" w:rsidRDefault="00835E4A">
      <w:r>
        <w:t xml:space="preserve">U pacientů s lehkou až středně těžkou poruchou funkce jater se nevyžaduje žádná úprava dávkování. </w:t>
      </w:r>
      <w:r w:rsidR="00B37E6F">
        <w:t>P</w:t>
      </w:r>
      <w:r>
        <w:t>acient</w:t>
      </w:r>
      <w:r w:rsidR="00B37E6F">
        <w:t>i</w:t>
      </w:r>
      <w:r>
        <w:t xml:space="preserve"> s těžkou poruchou funkce jater </w:t>
      </w:r>
      <w:r w:rsidR="00B37E6F">
        <w:t xml:space="preserve">nebyli </w:t>
      </w:r>
      <w:r w:rsidR="000D0BC5">
        <w:t>studováni</w:t>
      </w:r>
      <w:r w:rsidR="00B37E6F">
        <w:t xml:space="preserve"> </w:t>
      </w:r>
      <w:proofErr w:type="gramStart"/>
      <w:r w:rsidR="00B37E6F">
        <w:t>a</w:t>
      </w:r>
      <w:proofErr w:type="gramEnd"/>
      <w:r w:rsidR="00B37E6F">
        <w:t xml:space="preserve"> může u nich dojít ke zvýšení expozice risdiplamu </w:t>
      </w:r>
      <w:r>
        <w:t>(viz bod</w:t>
      </w:r>
      <w:r w:rsidR="008460A7">
        <w:t>y</w:t>
      </w:r>
      <w:r>
        <w:t> 5.1 a 5.2).</w:t>
      </w:r>
    </w:p>
    <w:p w14:paraId="06730B34" w14:textId="77777777" w:rsidR="003426D5" w:rsidRDefault="003426D5" w:rsidP="003426D5">
      <w:pPr>
        <w:rPr>
          <w:i/>
        </w:rPr>
      </w:pPr>
    </w:p>
    <w:p w14:paraId="06730B35" w14:textId="77777777" w:rsidR="003426D5" w:rsidRDefault="003426D5" w:rsidP="003426D5">
      <w:pPr>
        <w:rPr>
          <w:i/>
        </w:rPr>
      </w:pPr>
      <w:r>
        <w:rPr>
          <w:i/>
        </w:rPr>
        <w:t>Pediatrická populace</w:t>
      </w:r>
    </w:p>
    <w:p w14:paraId="06730B36" w14:textId="31F4091D" w:rsidR="003426D5" w:rsidRDefault="003426D5" w:rsidP="003426D5">
      <w:r>
        <w:t xml:space="preserve">Bezpečnost </w:t>
      </w:r>
      <w:proofErr w:type="gramStart"/>
      <w:r>
        <w:t>a</w:t>
      </w:r>
      <w:proofErr w:type="gramEnd"/>
      <w:r>
        <w:t xml:space="preserve"> účinnost </w:t>
      </w:r>
      <w:r w:rsidR="00905026">
        <w:t>risdiplamu</w:t>
      </w:r>
      <w:r>
        <w:t xml:space="preserve"> u </w:t>
      </w:r>
      <w:r w:rsidR="000B6365">
        <w:t>pediatrických pacientů</w:t>
      </w:r>
      <w:r>
        <w:t xml:space="preserve"> </w:t>
      </w:r>
      <w:r w:rsidR="000D0BC5">
        <w:t xml:space="preserve">ve věku </w:t>
      </w:r>
      <w:r>
        <w:t>do 2 měsíců nebyla dosud stanovena (viz bod 5.1).</w:t>
      </w:r>
      <w:r w:rsidR="009C2F8D">
        <w:t xml:space="preserve"> Nejsou </w:t>
      </w:r>
      <w:r w:rsidR="00EC1AC5">
        <w:t>dostupné</w:t>
      </w:r>
      <w:r w:rsidR="009C2F8D">
        <w:t xml:space="preserve"> žádné údaje.</w:t>
      </w:r>
    </w:p>
    <w:p w14:paraId="06730B37" w14:textId="77777777" w:rsidR="001263D0" w:rsidRDefault="001263D0">
      <w:pPr>
        <w:rPr>
          <w:u w:val="single"/>
        </w:rPr>
      </w:pPr>
    </w:p>
    <w:p w14:paraId="06730B38" w14:textId="77777777" w:rsidR="001263D0" w:rsidRDefault="00835E4A">
      <w:pPr>
        <w:rPr>
          <w:u w:val="single"/>
        </w:rPr>
      </w:pPr>
      <w:r>
        <w:rPr>
          <w:u w:val="single"/>
        </w:rPr>
        <w:t xml:space="preserve">Způsob podání </w:t>
      </w:r>
    </w:p>
    <w:p w14:paraId="06730B39" w14:textId="77777777" w:rsidR="000B0213" w:rsidRDefault="000B0213"/>
    <w:p w14:paraId="06730B3A" w14:textId="77777777" w:rsidR="00FA2D3B" w:rsidRDefault="00FA2D3B">
      <w:r>
        <w:t>Perorální podání.</w:t>
      </w:r>
    </w:p>
    <w:p w14:paraId="06730B3B" w14:textId="77777777" w:rsidR="00FA2D3B" w:rsidRDefault="00FA2D3B"/>
    <w:p w14:paraId="06730B3C" w14:textId="7F4CA35F" w:rsidR="001263D0" w:rsidRDefault="000B0213">
      <w:r>
        <w:t>Přípravek Evrysdi musí před výdejem rekonstituovat zdravotnický pracovník.</w:t>
      </w:r>
      <w:r w:rsidR="00A755F1">
        <w:t xml:space="preserve"> Doporučuje se, aby </w:t>
      </w:r>
      <w:r w:rsidR="000D0BC5">
        <w:t>zdravotnický pracovník</w:t>
      </w:r>
      <w:r w:rsidR="00A755F1">
        <w:t xml:space="preserve"> ještě před podáním první dávky prodiskutoval způsob přípravy předepsané denní dávky s </w:t>
      </w:r>
      <w:r w:rsidR="000D0BC5">
        <w:t>pacientem nebo pečující osobou</w:t>
      </w:r>
      <w:r w:rsidR="00A755F1">
        <w:t xml:space="preserve">. </w:t>
      </w:r>
    </w:p>
    <w:p w14:paraId="06730B3D" w14:textId="77777777" w:rsidR="000B0213" w:rsidRDefault="000B0213"/>
    <w:p w14:paraId="06730B3E" w14:textId="25694EC8" w:rsidR="00A755F1" w:rsidRDefault="00835E4A">
      <w:r>
        <w:t xml:space="preserve">Přípravek Evrysdi se podává </w:t>
      </w:r>
      <w:r w:rsidR="00EC1A24">
        <w:t>perorálně</w:t>
      </w:r>
      <w:r>
        <w:t xml:space="preserve"> z poskytnuté perorální stříkačky pro opakované použití jednou denně </w:t>
      </w:r>
      <w:r w:rsidR="00A755F1">
        <w:t xml:space="preserve">po jídle </w:t>
      </w:r>
      <w:r>
        <w:t xml:space="preserve">vždy přibližně ve stejnou </w:t>
      </w:r>
      <w:r w:rsidR="00EC1A24">
        <w:t xml:space="preserve">denní </w:t>
      </w:r>
      <w:r>
        <w:t xml:space="preserve">dobu. </w:t>
      </w:r>
      <w:r w:rsidR="00004C2F" w:rsidRPr="00004C2F">
        <w:t>Kojencům je třeba přípravek Evrysdi podat po kojení.</w:t>
      </w:r>
      <w:r w:rsidR="00004C2F">
        <w:t xml:space="preserve"> </w:t>
      </w:r>
      <w:r w:rsidR="00AE1165" w:rsidRPr="00AE1165">
        <w:t>Přípravek Evrysdi nelze přidávat do mléka ani umělého mléka.</w:t>
      </w:r>
    </w:p>
    <w:p w14:paraId="06730B3F" w14:textId="77777777" w:rsidR="00AE1165" w:rsidRDefault="00AE1165"/>
    <w:p w14:paraId="06730B40" w14:textId="77777777" w:rsidR="001263D0" w:rsidRDefault="00D428FE">
      <w:r>
        <w:t>Přípravek Evrysdi je třeba podat okamžitě po natažení do perorální stříkačky. Není-li podán během 5 minut, je třeba jej vytlačit ze stříkačky</w:t>
      </w:r>
      <w:r w:rsidR="00295E9A">
        <w:t>, zlikvidovat</w:t>
      </w:r>
      <w:r>
        <w:t xml:space="preserve"> a připravit novou dávku. Při potřísnění kůže přípravkem Evrysdi </w:t>
      </w:r>
      <w:r w:rsidR="00CB56F7">
        <w:t xml:space="preserve">nebo při jeho rozlití </w:t>
      </w:r>
      <w:r>
        <w:t xml:space="preserve">je třeba </w:t>
      </w:r>
      <w:r w:rsidR="00514640">
        <w:t xml:space="preserve">plochu </w:t>
      </w:r>
      <w:r>
        <w:t>opláchnout mýdl</w:t>
      </w:r>
      <w:r w:rsidR="009F3AA0">
        <w:t>em a</w:t>
      </w:r>
      <w:r>
        <w:t xml:space="preserve"> vodou.</w:t>
      </w:r>
    </w:p>
    <w:p w14:paraId="06730B41" w14:textId="77777777" w:rsidR="00D00DD5" w:rsidRDefault="00D00DD5"/>
    <w:p w14:paraId="06730B42" w14:textId="77777777" w:rsidR="001263D0" w:rsidRDefault="00835E4A">
      <w:r>
        <w:t xml:space="preserve">Po podání přípravku Evrysdi se má pacient napít vody, aby došlo k úplnému polknutí </w:t>
      </w:r>
      <w:r w:rsidR="00E1618B">
        <w:t xml:space="preserve">léčivého </w:t>
      </w:r>
      <w:r>
        <w:t xml:space="preserve">přípravku. Pacientovi, který nemůže polykat a má zavedenu nasogastrickou nebo gastrostomickou sondu, </w:t>
      </w:r>
      <w:r w:rsidR="00E1618B">
        <w:t xml:space="preserve">lze </w:t>
      </w:r>
      <w:r>
        <w:t xml:space="preserve">přípravek Evrysdi </w:t>
      </w:r>
      <w:r w:rsidR="00E1618B">
        <w:t xml:space="preserve">podat </w:t>
      </w:r>
      <w:r>
        <w:t xml:space="preserve">sondou. Po podání přípravku Evrysdi je třeba sondu promýt vodou. </w:t>
      </w:r>
    </w:p>
    <w:p w14:paraId="06730B43" w14:textId="77777777" w:rsidR="001263D0" w:rsidRDefault="001263D0"/>
    <w:p w14:paraId="06730B44" w14:textId="5F1D912D" w:rsidR="001263D0" w:rsidRDefault="00835E4A" w:rsidP="00721B88">
      <w:pPr>
        <w:rPr>
          <w:i/>
        </w:rPr>
      </w:pPr>
      <w:r>
        <w:rPr>
          <w:i/>
        </w:rPr>
        <w:t xml:space="preserve">Volba perorální stříkačky pro předepsanou denní dávku: </w:t>
      </w:r>
    </w:p>
    <w:p w14:paraId="0C574C88" w14:textId="77777777" w:rsidR="00B83A4A" w:rsidRDefault="00B83A4A" w:rsidP="00721B88"/>
    <w:tbl>
      <w:tblPr>
        <w:tblStyle w:val="a0"/>
        <w:tblW w:w="88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9"/>
        <w:gridCol w:w="3194"/>
        <w:gridCol w:w="2909"/>
      </w:tblGrid>
      <w:tr w:rsidR="001263D0" w14:paraId="06730B48" w14:textId="77777777">
        <w:trPr>
          <w:trHeight w:val="211"/>
        </w:trPr>
        <w:tc>
          <w:tcPr>
            <w:tcW w:w="2739" w:type="dxa"/>
            <w:shd w:val="clear" w:color="auto" w:fill="auto"/>
          </w:tcPr>
          <w:p w14:paraId="06730B45" w14:textId="77777777" w:rsidR="001263D0" w:rsidRDefault="00835E4A">
            <w:pPr>
              <w:spacing w:after="120"/>
              <w:rPr>
                <w:i/>
              </w:rPr>
            </w:pPr>
            <w:r>
              <w:rPr>
                <w:i/>
              </w:rPr>
              <w:t>Velikost stříkačky</w:t>
            </w:r>
          </w:p>
        </w:tc>
        <w:tc>
          <w:tcPr>
            <w:tcW w:w="3194" w:type="dxa"/>
            <w:shd w:val="clear" w:color="auto" w:fill="auto"/>
          </w:tcPr>
          <w:p w14:paraId="06730B46" w14:textId="77777777" w:rsidR="001263D0" w:rsidRDefault="00835E4A">
            <w:pPr>
              <w:spacing w:after="120"/>
              <w:rPr>
                <w:i/>
              </w:rPr>
            </w:pPr>
            <w:r>
              <w:rPr>
                <w:i/>
              </w:rPr>
              <w:t xml:space="preserve">Objem dávky </w:t>
            </w:r>
          </w:p>
        </w:tc>
        <w:tc>
          <w:tcPr>
            <w:tcW w:w="2909" w:type="dxa"/>
            <w:shd w:val="clear" w:color="auto" w:fill="auto"/>
          </w:tcPr>
          <w:p w14:paraId="06730B47" w14:textId="77777777" w:rsidR="001263D0" w:rsidRDefault="00835E4A">
            <w:pPr>
              <w:spacing w:after="120"/>
              <w:rPr>
                <w:i/>
              </w:rPr>
            </w:pPr>
            <w:r>
              <w:rPr>
                <w:i/>
              </w:rPr>
              <w:t>Dělení stříkačky</w:t>
            </w:r>
          </w:p>
        </w:tc>
      </w:tr>
      <w:tr w:rsidR="001263D0" w14:paraId="06730B4C" w14:textId="77777777">
        <w:trPr>
          <w:trHeight w:val="211"/>
        </w:trPr>
        <w:tc>
          <w:tcPr>
            <w:tcW w:w="2739" w:type="dxa"/>
            <w:shd w:val="clear" w:color="auto" w:fill="auto"/>
          </w:tcPr>
          <w:p w14:paraId="06730B49" w14:textId="77777777" w:rsidR="001263D0" w:rsidRDefault="00835E4A">
            <w:pPr>
              <w:spacing w:after="120"/>
            </w:pPr>
            <w:r>
              <w:t>6 ml</w:t>
            </w:r>
          </w:p>
        </w:tc>
        <w:tc>
          <w:tcPr>
            <w:tcW w:w="3194" w:type="dxa"/>
            <w:shd w:val="clear" w:color="auto" w:fill="auto"/>
          </w:tcPr>
          <w:p w14:paraId="06730B4A" w14:textId="77777777" w:rsidR="001263D0" w:rsidRDefault="00835E4A">
            <w:pPr>
              <w:spacing w:after="120"/>
            </w:pPr>
            <w:r>
              <w:t>1 ml až 6 ml</w:t>
            </w:r>
          </w:p>
        </w:tc>
        <w:tc>
          <w:tcPr>
            <w:tcW w:w="2909" w:type="dxa"/>
            <w:shd w:val="clear" w:color="auto" w:fill="auto"/>
          </w:tcPr>
          <w:p w14:paraId="06730B4B" w14:textId="77777777" w:rsidR="001263D0" w:rsidRDefault="00835E4A">
            <w:pPr>
              <w:spacing w:after="120"/>
            </w:pPr>
            <w:r>
              <w:t>0,1 ml</w:t>
            </w:r>
          </w:p>
        </w:tc>
      </w:tr>
      <w:tr w:rsidR="001263D0" w14:paraId="06730B50" w14:textId="77777777">
        <w:trPr>
          <w:trHeight w:val="211"/>
        </w:trPr>
        <w:tc>
          <w:tcPr>
            <w:tcW w:w="2739" w:type="dxa"/>
            <w:shd w:val="clear" w:color="auto" w:fill="auto"/>
          </w:tcPr>
          <w:p w14:paraId="06730B4D" w14:textId="77777777" w:rsidR="001263D0" w:rsidRDefault="00835E4A">
            <w:pPr>
              <w:spacing w:after="120"/>
            </w:pPr>
            <w:r>
              <w:t>12 ml</w:t>
            </w:r>
          </w:p>
        </w:tc>
        <w:tc>
          <w:tcPr>
            <w:tcW w:w="3194" w:type="dxa"/>
            <w:shd w:val="clear" w:color="auto" w:fill="auto"/>
          </w:tcPr>
          <w:p w14:paraId="06730B4E" w14:textId="77777777" w:rsidR="001263D0" w:rsidRDefault="00835E4A">
            <w:pPr>
              <w:spacing w:after="120"/>
            </w:pPr>
            <w:r>
              <w:t>6,2 ml až 6,6 ml</w:t>
            </w:r>
          </w:p>
        </w:tc>
        <w:tc>
          <w:tcPr>
            <w:tcW w:w="2909" w:type="dxa"/>
            <w:shd w:val="clear" w:color="auto" w:fill="auto"/>
          </w:tcPr>
          <w:p w14:paraId="06730B4F" w14:textId="77777777" w:rsidR="001263D0" w:rsidRDefault="00835E4A">
            <w:pPr>
              <w:spacing w:after="120"/>
            </w:pPr>
            <w:r>
              <w:t>0,2 ml</w:t>
            </w:r>
          </w:p>
        </w:tc>
      </w:tr>
    </w:tbl>
    <w:p w14:paraId="06730B51" w14:textId="77777777" w:rsidR="001263D0" w:rsidRDefault="001263D0"/>
    <w:p w14:paraId="06730B52" w14:textId="77777777" w:rsidR="001263D0" w:rsidRDefault="00835E4A">
      <w:r>
        <w:t xml:space="preserve">Při výpočtu objemu dávky je třeba vzít v úvahu dělení stříkačky. Objem dávky </w:t>
      </w:r>
      <w:r w:rsidR="004B1E8D">
        <w:t xml:space="preserve">se </w:t>
      </w:r>
      <w:r>
        <w:t>zaokrouhl</w:t>
      </w:r>
      <w:r w:rsidR="004B1E8D">
        <w:t>uje</w:t>
      </w:r>
      <w:r>
        <w:t xml:space="preserve"> </w:t>
      </w:r>
      <w:proofErr w:type="gramStart"/>
      <w:r>
        <w:t>na</w:t>
      </w:r>
      <w:proofErr w:type="gramEnd"/>
      <w:r>
        <w:t xml:space="preserve"> nejbližší dílek vyznačený na zvolené perorální stříkačce. </w:t>
      </w:r>
    </w:p>
    <w:p w14:paraId="06730B53" w14:textId="77777777" w:rsidR="001263D0" w:rsidRDefault="001263D0"/>
    <w:p w14:paraId="06730B54" w14:textId="77777777" w:rsidR="001263D0" w:rsidRDefault="00835E4A">
      <w:pPr>
        <w:keepNext/>
        <w:keepLines/>
        <w:ind w:left="567" w:hanging="567"/>
      </w:pPr>
      <w:r>
        <w:rPr>
          <w:b/>
        </w:rPr>
        <w:lastRenderedPageBreak/>
        <w:t>4.3</w:t>
      </w:r>
      <w:r>
        <w:rPr>
          <w:b/>
        </w:rPr>
        <w:tab/>
        <w:t>Kontraindikace</w:t>
      </w:r>
    </w:p>
    <w:p w14:paraId="06730B55" w14:textId="77777777" w:rsidR="001263D0" w:rsidRDefault="001263D0">
      <w:pPr>
        <w:keepNext/>
        <w:keepLines/>
      </w:pPr>
    </w:p>
    <w:p w14:paraId="06730B56" w14:textId="77777777" w:rsidR="001263D0" w:rsidRDefault="00835E4A">
      <w:r>
        <w:t xml:space="preserve">Hypersenzitivita </w:t>
      </w:r>
      <w:proofErr w:type="gramStart"/>
      <w:r>
        <w:t>na</w:t>
      </w:r>
      <w:proofErr w:type="gramEnd"/>
      <w:r>
        <w:t xml:space="preserve"> léčivou látku nebo na kteroukoli pomocnou látku uvedenou v bodě 6.1.</w:t>
      </w:r>
    </w:p>
    <w:p w14:paraId="06730B57" w14:textId="77777777" w:rsidR="001263D0" w:rsidRDefault="001263D0"/>
    <w:p w14:paraId="06730B58" w14:textId="77777777" w:rsidR="001263D0" w:rsidRDefault="00835E4A" w:rsidP="00960A95">
      <w:pPr>
        <w:keepNext/>
        <w:keepLines/>
        <w:ind w:left="567" w:hanging="567"/>
        <w:rPr>
          <w:b/>
        </w:rPr>
      </w:pPr>
      <w:r>
        <w:rPr>
          <w:b/>
        </w:rPr>
        <w:t>4.4</w:t>
      </w:r>
      <w:r>
        <w:rPr>
          <w:b/>
        </w:rPr>
        <w:tab/>
        <w:t>Zvláštní upozornění a opatření pro použití</w:t>
      </w:r>
    </w:p>
    <w:p w14:paraId="06730B59" w14:textId="77777777" w:rsidR="001263D0" w:rsidRDefault="001263D0" w:rsidP="00960A95">
      <w:pPr>
        <w:keepNext/>
        <w:keepLines/>
        <w:ind w:left="567" w:hanging="567"/>
        <w:rPr>
          <w:b/>
        </w:rPr>
      </w:pPr>
    </w:p>
    <w:p w14:paraId="06730B5A" w14:textId="77777777" w:rsidR="001263D0" w:rsidRDefault="00004C2F">
      <w:pPr>
        <w:rPr>
          <w:u w:val="single"/>
        </w:rPr>
      </w:pPr>
      <w:r>
        <w:rPr>
          <w:u w:val="single"/>
        </w:rPr>
        <w:t>Možná e</w:t>
      </w:r>
      <w:r w:rsidR="00835E4A">
        <w:rPr>
          <w:u w:val="single"/>
        </w:rPr>
        <w:t>mbryofetální toxicita</w:t>
      </w:r>
    </w:p>
    <w:p w14:paraId="06730B5B" w14:textId="77777777" w:rsidR="001263D0" w:rsidRDefault="001263D0"/>
    <w:p w14:paraId="06730B5C" w14:textId="77777777" w:rsidR="001263D0" w:rsidRDefault="00835E4A">
      <w:r>
        <w:t xml:space="preserve">Ve studiích </w:t>
      </w:r>
      <w:proofErr w:type="gramStart"/>
      <w:r>
        <w:t>na</w:t>
      </w:r>
      <w:proofErr w:type="gramEnd"/>
      <w:r>
        <w:t xml:space="preserve"> zvířatech byla zjištěna embryofetální toxicita (viz bod 5.3). Pacienty v</w:t>
      </w:r>
      <w:r w:rsidR="00892ECF">
        <w:t>e fertilním</w:t>
      </w:r>
      <w:r>
        <w:t xml:space="preserve"> věku je třeba seznámit s riziky a pacienti musí používat vysoce účinnou antikoncepci během léčby a nejméně </w:t>
      </w:r>
      <w:proofErr w:type="gramStart"/>
      <w:r>
        <w:t>1 měsíc</w:t>
      </w:r>
      <w:proofErr w:type="gramEnd"/>
      <w:r>
        <w:t xml:space="preserve"> po poslední dávce v případě žen a 4 měsíce po poslední dávce v případě mužů.</w:t>
      </w:r>
      <w:r w:rsidR="004B1E8D">
        <w:t xml:space="preserve"> </w:t>
      </w:r>
      <w:r w:rsidR="004B1E8D" w:rsidRPr="004B1E8D">
        <w:t>U pacientek ve fertilním věku je třeba před zahájením léčby přípravk</w:t>
      </w:r>
      <w:r w:rsidR="00EF373D">
        <w:t>em</w:t>
      </w:r>
      <w:r w:rsidR="004B1E8D" w:rsidRPr="004B1E8D">
        <w:t xml:space="preserve"> Evrysdi zkontrolovat případné těhotenství (viz bod 4.6).</w:t>
      </w:r>
    </w:p>
    <w:p w14:paraId="06730B5D" w14:textId="77777777" w:rsidR="001263D0" w:rsidRDefault="001263D0"/>
    <w:p w14:paraId="06730B5E" w14:textId="77777777" w:rsidR="001263D0" w:rsidRDefault="00835E4A">
      <w:pPr>
        <w:rPr>
          <w:u w:val="single"/>
        </w:rPr>
      </w:pPr>
      <w:r>
        <w:rPr>
          <w:u w:val="single"/>
        </w:rPr>
        <w:t xml:space="preserve">Možné účinky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mužskou </w:t>
      </w:r>
      <w:r w:rsidR="008905A4">
        <w:rPr>
          <w:u w:val="single"/>
        </w:rPr>
        <w:t>fertilitu</w:t>
      </w:r>
    </w:p>
    <w:p w14:paraId="06730B5F" w14:textId="77777777" w:rsidR="001263D0" w:rsidRDefault="001263D0"/>
    <w:p w14:paraId="06730B60" w14:textId="77777777" w:rsidR="004B1C8C" w:rsidRDefault="00A2010F" w:rsidP="004B1C8C">
      <w:r>
        <w:t>Na základě údajů ze</w:t>
      </w:r>
      <w:r w:rsidR="00835E4A">
        <w:t xml:space="preserve"> studií na zvířatech nemají muži během léčby a </w:t>
      </w:r>
      <w:proofErr w:type="gramStart"/>
      <w:r w:rsidR="00835E4A">
        <w:t>4 měsíce</w:t>
      </w:r>
      <w:proofErr w:type="gramEnd"/>
      <w:r w:rsidR="00835E4A">
        <w:t xml:space="preserve"> po poslední dávce přípravku Evrysdi darovat sperma.</w:t>
      </w:r>
      <w:r w:rsidR="00A612E7">
        <w:t xml:space="preserve"> </w:t>
      </w:r>
      <w:r w:rsidR="004B1C8C">
        <w:t>Před zahájením léčby mužů ve fertilním věku</w:t>
      </w:r>
      <w:r w:rsidR="00A50DA4">
        <w:t xml:space="preserve"> </w:t>
      </w:r>
      <w:r w:rsidR="004B1C8C">
        <w:t>je třeba s pacienty probrat možnosti zachování fertility</w:t>
      </w:r>
      <w:r w:rsidR="009A3863">
        <w:t xml:space="preserve"> (viz body 4.6 a 5.3)</w:t>
      </w:r>
      <w:r w:rsidR="004B1C8C">
        <w:t>.</w:t>
      </w:r>
      <w:r w:rsidR="00A50DA4">
        <w:t xml:space="preserve"> </w:t>
      </w:r>
      <w:r w:rsidR="005D0FA1" w:rsidRPr="005D0FA1">
        <w:t xml:space="preserve">Účinky přípravku Evrysdi </w:t>
      </w:r>
      <w:proofErr w:type="gramStart"/>
      <w:r w:rsidR="005D0FA1" w:rsidRPr="005D0FA1">
        <w:t>na</w:t>
      </w:r>
      <w:proofErr w:type="gramEnd"/>
      <w:r w:rsidR="005D0FA1" w:rsidRPr="005D0FA1">
        <w:t xml:space="preserve"> mužskou fertilitu nebyly u </w:t>
      </w:r>
      <w:r w:rsidR="005250DA">
        <w:t>člověka</w:t>
      </w:r>
      <w:r w:rsidR="005D0FA1" w:rsidRPr="005D0FA1">
        <w:t xml:space="preserve"> hodnoceny.</w:t>
      </w:r>
    </w:p>
    <w:p w14:paraId="06730B61" w14:textId="77777777" w:rsidR="005D0FA1" w:rsidRDefault="005D0FA1" w:rsidP="004B1C8C"/>
    <w:p w14:paraId="06730B62" w14:textId="77777777" w:rsidR="009B08CC" w:rsidRDefault="009B08CC" w:rsidP="009B08CC">
      <w:pPr>
        <w:rPr>
          <w:u w:val="single"/>
        </w:rPr>
      </w:pPr>
      <w:r w:rsidRPr="00242278">
        <w:rPr>
          <w:u w:val="single"/>
        </w:rPr>
        <w:t>Retinální toxicita</w:t>
      </w:r>
    </w:p>
    <w:p w14:paraId="06730B63" w14:textId="77777777" w:rsidR="009B08CC" w:rsidRPr="00242278" w:rsidRDefault="009B08CC" w:rsidP="009B08CC">
      <w:pPr>
        <w:rPr>
          <w:u w:val="single"/>
        </w:rPr>
      </w:pPr>
    </w:p>
    <w:p w14:paraId="06730B64" w14:textId="167FDFD7" w:rsidR="005D0FA1" w:rsidRDefault="00E9081C" w:rsidP="009B08CC">
      <w:r>
        <w:t>Ú</w:t>
      </w:r>
      <w:r w:rsidR="009B08CC">
        <w:t xml:space="preserve">činky přípravku Evrysdi </w:t>
      </w:r>
      <w:proofErr w:type="gramStart"/>
      <w:r w:rsidR="009B08CC">
        <w:t>na</w:t>
      </w:r>
      <w:proofErr w:type="gramEnd"/>
      <w:r w:rsidR="009B08CC">
        <w:t xml:space="preserve"> stavbu oční sítnice </w:t>
      </w:r>
      <w:r>
        <w:t>pozorované v neklinických studiích bezpečnosti</w:t>
      </w:r>
      <w:r w:rsidR="009B08CC">
        <w:t xml:space="preserve"> nebyly v klinických studiích s pacienty s SMA zjištěny.</w:t>
      </w:r>
      <w:r w:rsidR="00711AEF">
        <w:t xml:space="preserve"> </w:t>
      </w:r>
      <w:r w:rsidR="009B08CC">
        <w:t>Dlouhodobé údaje jsou ale dosud omezené.</w:t>
      </w:r>
      <w:r w:rsidR="00711AEF">
        <w:t xml:space="preserve"> </w:t>
      </w:r>
      <w:r w:rsidR="009B08CC">
        <w:t>Klinick</w:t>
      </w:r>
      <w:r w:rsidR="00CC13D5">
        <w:t>ý význam</w:t>
      </w:r>
      <w:r w:rsidR="009B08CC">
        <w:t xml:space="preserve"> těchto neklinických zjištění z dlouhodobého hlediska proto nebyl dosud </w:t>
      </w:r>
      <w:r w:rsidR="00E81EC5">
        <w:t>stanoven</w:t>
      </w:r>
      <w:r w:rsidR="009B08CC">
        <w:t xml:space="preserve"> (viz bod 5.3).</w:t>
      </w:r>
      <w:r w:rsidR="005533C5">
        <w:t xml:space="preserve"> </w:t>
      </w:r>
    </w:p>
    <w:p w14:paraId="06730B65" w14:textId="77777777" w:rsidR="00172705" w:rsidRDefault="00172705" w:rsidP="009B08CC"/>
    <w:p w14:paraId="06730B66" w14:textId="77777777" w:rsidR="00172705" w:rsidRPr="003C523F" w:rsidRDefault="00172705" w:rsidP="009B08CC">
      <w:pPr>
        <w:rPr>
          <w:u w:val="single"/>
        </w:rPr>
      </w:pPr>
      <w:r w:rsidRPr="003C523F">
        <w:rPr>
          <w:u w:val="single"/>
        </w:rPr>
        <w:t>Použití s genovou terapií SMA</w:t>
      </w:r>
    </w:p>
    <w:p w14:paraId="06730B67" w14:textId="77777777" w:rsidR="00172705" w:rsidRDefault="00172705" w:rsidP="009B08CC"/>
    <w:p w14:paraId="06730B68" w14:textId="77777777" w:rsidR="00172705" w:rsidRPr="0009367C" w:rsidRDefault="00172705" w:rsidP="009B08CC">
      <w:r>
        <w:t>Údaje o účinnosti</w:t>
      </w:r>
      <w:r w:rsidR="0041452C">
        <w:t xml:space="preserve"> léčby přípravkem Evrysdi u pacientů po předchozí genové terapii </w:t>
      </w:r>
      <w:r w:rsidR="0041452C" w:rsidRPr="00242278">
        <w:rPr>
          <w:i/>
          <w:iCs/>
        </w:rPr>
        <w:t>SMN1</w:t>
      </w:r>
      <w:r w:rsidR="0009367C">
        <w:rPr>
          <w:i/>
          <w:iCs/>
        </w:rPr>
        <w:t xml:space="preserve"> </w:t>
      </w:r>
      <w:r w:rsidR="0009367C">
        <w:rPr>
          <w:iCs/>
        </w:rPr>
        <w:t>nejsou dostupné.</w:t>
      </w:r>
    </w:p>
    <w:p w14:paraId="06730B69" w14:textId="77777777" w:rsidR="004B1C8C" w:rsidRDefault="004B1C8C" w:rsidP="004B1C8C"/>
    <w:p w14:paraId="06730B6A" w14:textId="77777777" w:rsidR="004B1C8C" w:rsidRPr="00242278" w:rsidRDefault="004B1C8C" w:rsidP="004B1C8C">
      <w:pPr>
        <w:rPr>
          <w:u w:val="single"/>
        </w:rPr>
      </w:pPr>
      <w:r w:rsidRPr="00242278">
        <w:rPr>
          <w:u w:val="single"/>
        </w:rPr>
        <w:t>Pomocné látky</w:t>
      </w:r>
    </w:p>
    <w:p w14:paraId="06730B6B" w14:textId="77777777" w:rsidR="004B1C8C" w:rsidRDefault="004B1C8C" w:rsidP="004B1C8C"/>
    <w:p w14:paraId="06730B6C" w14:textId="77777777" w:rsidR="004B1C8C" w:rsidRPr="001A24EF" w:rsidRDefault="004B1C8C" w:rsidP="004B1C8C">
      <w:pPr>
        <w:rPr>
          <w:i/>
        </w:rPr>
      </w:pPr>
      <w:r w:rsidRPr="001A24EF">
        <w:rPr>
          <w:i/>
        </w:rPr>
        <w:t>Isomalt</w:t>
      </w:r>
    </w:p>
    <w:p w14:paraId="06730B6D" w14:textId="77777777" w:rsidR="001263D0" w:rsidRDefault="004B1C8C" w:rsidP="004B1C8C">
      <w:r>
        <w:t>Přípravek Evrysdi obsahuje isomalt (2</w:t>
      </w:r>
      <w:proofErr w:type="gramStart"/>
      <w:r>
        <w:t>,97</w:t>
      </w:r>
      <w:proofErr w:type="gramEnd"/>
      <w:r>
        <w:t xml:space="preserve"> mg v jednom </w:t>
      </w:r>
      <w:r w:rsidR="005402E2">
        <w:t>ml</w:t>
      </w:r>
      <w:r>
        <w:t xml:space="preserve">). </w:t>
      </w:r>
      <w:r w:rsidR="001522EC">
        <w:t>Pacienti</w:t>
      </w:r>
      <w:r>
        <w:t xml:space="preserve"> se vzácnými dědičnými </w:t>
      </w:r>
      <w:r w:rsidR="001522EC">
        <w:t>problémy</w:t>
      </w:r>
      <w:r>
        <w:t xml:space="preserve"> s </w:t>
      </w:r>
      <w:r w:rsidR="001522EC">
        <w:t>intolerancí</w:t>
      </w:r>
      <w:r>
        <w:t xml:space="preserve"> fruktózy </w:t>
      </w:r>
      <w:r w:rsidR="001522EC">
        <w:t>nemají</w:t>
      </w:r>
      <w:r>
        <w:t xml:space="preserve"> tento přípravek </w:t>
      </w:r>
      <w:r w:rsidR="001522EC">
        <w:t>užívat</w:t>
      </w:r>
      <w:r>
        <w:t>.</w:t>
      </w:r>
    </w:p>
    <w:p w14:paraId="06730B6E" w14:textId="77777777" w:rsidR="001263D0" w:rsidRDefault="001263D0"/>
    <w:p w14:paraId="06730B6F" w14:textId="77777777" w:rsidR="001263D0" w:rsidRPr="001A24EF" w:rsidRDefault="00835E4A">
      <w:pPr>
        <w:rPr>
          <w:i/>
        </w:rPr>
      </w:pPr>
      <w:r w:rsidRPr="001A24EF">
        <w:rPr>
          <w:i/>
        </w:rPr>
        <w:t xml:space="preserve">Sodík </w:t>
      </w:r>
    </w:p>
    <w:p w14:paraId="06730B70" w14:textId="77777777" w:rsidR="00FD7ADC" w:rsidRDefault="00AF54FB" w:rsidP="00FD7ADC">
      <w:r>
        <w:t>Přípravek Evrysdi</w:t>
      </w:r>
      <w:r w:rsidR="00FD7ADC">
        <w:t xml:space="preserve"> obsahuje 0,375 mg natrium-benzoátu v jednom ml roztoku. Natrium-benzoát může zesílit žloutenku (zežloutnutí kůže </w:t>
      </w:r>
      <w:proofErr w:type="gramStart"/>
      <w:r w:rsidR="00FD7ADC">
        <w:t>a</w:t>
      </w:r>
      <w:proofErr w:type="gramEnd"/>
      <w:r w:rsidR="00FD7ADC">
        <w:t> očí) u novorozenců (do 4 týdnů věku).</w:t>
      </w:r>
    </w:p>
    <w:p w14:paraId="06730B71" w14:textId="77777777" w:rsidR="00FD7ADC" w:rsidRDefault="00FD7ADC"/>
    <w:p w14:paraId="06730B72" w14:textId="77777777" w:rsidR="001263D0" w:rsidRDefault="00835E4A">
      <w:r>
        <w:t xml:space="preserve">Přípravek Evrysdi obsahuje méně než </w:t>
      </w:r>
      <w:proofErr w:type="gramStart"/>
      <w:r>
        <w:t>1</w:t>
      </w:r>
      <w:proofErr w:type="gramEnd"/>
      <w:r>
        <w:t xml:space="preserve"> mmol (23 mg) sodíku </w:t>
      </w:r>
      <w:r w:rsidR="004B1C8C">
        <w:t>v </w:t>
      </w:r>
      <w:r>
        <w:t>jedné dávce</w:t>
      </w:r>
      <w:r w:rsidR="004B1C8C">
        <w:t xml:space="preserve"> 5 mg</w:t>
      </w:r>
      <w:r>
        <w:t>, to znamená, že je v podstatě „bez sodíku“.</w:t>
      </w:r>
    </w:p>
    <w:p w14:paraId="06730B73" w14:textId="77777777" w:rsidR="001263D0" w:rsidRDefault="001263D0"/>
    <w:p w14:paraId="06730B74" w14:textId="77777777" w:rsidR="001263D0" w:rsidRDefault="00835E4A">
      <w:pPr>
        <w:ind w:left="567" w:hanging="567"/>
      </w:pPr>
      <w:r>
        <w:rPr>
          <w:b/>
        </w:rPr>
        <w:t>4.5</w:t>
      </w:r>
      <w:r>
        <w:rPr>
          <w:b/>
        </w:rPr>
        <w:tab/>
        <w:t>Interakce s jinými léčivými přípravky a jiné formy interakce</w:t>
      </w:r>
    </w:p>
    <w:p w14:paraId="06730B75" w14:textId="77777777" w:rsidR="001263D0" w:rsidRDefault="001263D0"/>
    <w:p w14:paraId="06730B76" w14:textId="1B00490B" w:rsidR="001263D0" w:rsidRDefault="00835E4A">
      <w:r>
        <w:t>Risdiplam je metabolizován primárně jaterními enzymy flavinmonooxygenázou 1 a 3 (FMO1 a 3) a </w:t>
      </w:r>
      <w:r w:rsidR="00117369">
        <w:t>také</w:t>
      </w:r>
      <w:r>
        <w:t xml:space="preserve"> </w:t>
      </w:r>
      <w:r w:rsidR="00633873">
        <w:t>enzymy cytochromu P450 (</w:t>
      </w:r>
      <w:r>
        <w:t>CYP</w:t>
      </w:r>
      <w:r w:rsidR="00633873">
        <w:t>)</w:t>
      </w:r>
      <w:r>
        <w:t xml:space="preserve"> 1A1, 2J2, 3A4 a 3A7. Risdiplam není substrátem </w:t>
      </w:r>
      <w:r w:rsidR="00117369">
        <w:t xml:space="preserve">lidského </w:t>
      </w:r>
      <w:r>
        <w:t xml:space="preserve">proteinu mnohočetné lékové rezistence </w:t>
      </w:r>
      <w:r w:rsidR="00117369">
        <w:t xml:space="preserve">1 </w:t>
      </w:r>
      <w:r>
        <w:t xml:space="preserve">(MDR1). </w:t>
      </w:r>
    </w:p>
    <w:p w14:paraId="06730B77" w14:textId="77777777" w:rsidR="001263D0" w:rsidRDefault="001263D0"/>
    <w:p w14:paraId="06730B78" w14:textId="77777777" w:rsidR="001263D0" w:rsidRDefault="00835E4A">
      <w:pPr>
        <w:rPr>
          <w:u w:val="single"/>
        </w:rPr>
      </w:pPr>
      <w:r>
        <w:rPr>
          <w:u w:val="single"/>
        </w:rPr>
        <w:t xml:space="preserve">Účinky jiných léčivých přípravků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risdiplam</w:t>
      </w:r>
    </w:p>
    <w:p w14:paraId="06730B79" w14:textId="77777777" w:rsidR="001263D0" w:rsidRDefault="001263D0"/>
    <w:p w14:paraId="06730B7A" w14:textId="74FEE763" w:rsidR="001263D0" w:rsidRDefault="00835E4A">
      <w:r>
        <w:t xml:space="preserve">Souběžné podání silného inhibitoru CYP3A itrakonazolu 200 mg dvakrát denně s jednorázovou perorální dávkou risdiplamu 6 mg nemělo klinicky </w:t>
      </w:r>
      <w:r w:rsidR="0066474F">
        <w:t>významný</w:t>
      </w:r>
      <w:r>
        <w:t xml:space="preserve"> účinek na farmakokinetické parametry </w:t>
      </w:r>
      <w:r>
        <w:lastRenderedPageBreak/>
        <w:t>risdiplamu (11% zvýšení AUC, 9% snížení C</w:t>
      </w:r>
      <w:r>
        <w:rPr>
          <w:vertAlign w:val="subscript"/>
        </w:rPr>
        <w:t>max</w:t>
      </w:r>
      <w:r>
        <w:t xml:space="preserve">). Při souběžném podání přípravku Evrysdi </w:t>
      </w:r>
      <w:proofErr w:type="gramStart"/>
      <w:r>
        <w:t>a</w:t>
      </w:r>
      <w:proofErr w:type="gramEnd"/>
      <w:r>
        <w:t xml:space="preserve"> inhibitoru CYP3A nejsou požadovány žádné úpravy dávkování. </w:t>
      </w:r>
    </w:p>
    <w:p w14:paraId="06730B7B" w14:textId="77777777" w:rsidR="001263D0" w:rsidRDefault="001263D0"/>
    <w:p w14:paraId="06730B7C" w14:textId="77777777" w:rsidR="001263D0" w:rsidRDefault="00835E4A">
      <w:r>
        <w:t>Nepředpokládají se žádné lékové interakce prostřednictvím drah FMO1 a FMO3.</w:t>
      </w:r>
    </w:p>
    <w:p w14:paraId="06730B7D" w14:textId="77777777" w:rsidR="001263D0" w:rsidRDefault="001263D0"/>
    <w:p w14:paraId="06730B7E" w14:textId="77777777" w:rsidR="001263D0" w:rsidRDefault="00835E4A">
      <w:pPr>
        <w:rPr>
          <w:u w:val="single"/>
        </w:rPr>
      </w:pPr>
      <w:r>
        <w:rPr>
          <w:u w:val="single"/>
        </w:rPr>
        <w:t xml:space="preserve">Účinky risdiplamu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jiné léčivé přípravky</w:t>
      </w:r>
    </w:p>
    <w:p w14:paraId="06730B7F" w14:textId="77777777" w:rsidR="001263D0" w:rsidRDefault="001263D0"/>
    <w:p w14:paraId="06730B80" w14:textId="71FFAA3D" w:rsidR="001263D0" w:rsidRDefault="00835E4A">
      <w:pPr>
        <w:rPr>
          <w:color w:val="000000"/>
        </w:rPr>
      </w:pPr>
      <w:r>
        <w:rPr>
          <w:color w:val="000000"/>
        </w:rPr>
        <w:t>Risdiplam je slabým inhibitorem CYP3A. Risdiplam podávaný perorálně jednou denně po dobu 2 týdnů zdravým dospělým subjektům mírně zvýšil expozici midazolamu, citlivého substrátu CYP3A (AUC 11 %, C</w:t>
      </w:r>
      <w:r>
        <w:rPr>
          <w:color w:val="000000"/>
          <w:vertAlign w:val="subscript"/>
        </w:rPr>
        <w:t>max</w:t>
      </w:r>
      <w:r>
        <w:rPr>
          <w:color w:val="000000"/>
        </w:rPr>
        <w:t xml:space="preserve"> 16 %). </w:t>
      </w:r>
      <w:r>
        <w:t xml:space="preserve">Má se za to, že rozsah interakce není klinicky </w:t>
      </w:r>
      <w:r w:rsidR="00117369">
        <w:t>významný</w:t>
      </w:r>
      <w:r>
        <w:t>, žádná úprava dávkování pro substráty CYP3A se proto nevyžaduje.</w:t>
      </w:r>
      <w:r>
        <w:rPr>
          <w:color w:val="000000"/>
        </w:rPr>
        <w:t xml:space="preserve"> </w:t>
      </w:r>
    </w:p>
    <w:p w14:paraId="06730B81" w14:textId="77777777" w:rsidR="001263D0" w:rsidRDefault="001263D0">
      <w:pPr>
        <w:rPr>
          <w:color w:val="000000"/>
        </w:rPr>
      </w:pPr>
    </w:p>
    <w:p w14:paraId="06730B82" w14:textId="37528A64" w:rsidR="001263D0" w:rsidRDefault="00835E4A" w:rsidP="00B97843">
      <w:r>
        <w:t xml:space="preserve">Risdiplam a jeho hlavní </w:t>
      </w:r>
      <w:r w:rsidR="00CA760C">
        <w:t xml:space="preserve">lidský </w:t>
      </w:r>
      <w:r>
        <w:t>metabolit</w:t>
      </w:r>
      <w:r w:rsidR="00CA760C">
        <w:t> M1</w:t>
      </w:r>
      <w:r w:rsidR="00664322">
        <w:t xml:space="preserve"> </w:t>
      </w:r>
      <w:r>
        <w:t xml:space="preserve">nejsou podle studií </w:t>
      </w:r>
      <w:r>
        <w:rPr>
          <w:i/>
        </w:rPr>
        <w:t>in vitro</w:t>
      </w:r>
      <w:r>
        <w:t xml:space="preserve"> významnými inhibitory lidského MDR1, polypeptid</w:t>
      </w:r>
      <w:r w:rsidR="00117369">
        <w:t>ů</w:t>
      </w:r>
      <w:r>
        <w:t xml:space="preserve"> přenášející</w:t>
      </w:r>
      <w:r w:rsidR="00117369">
        <w:t>ch</w:t>
      </w:r>
      <w:r>
        <w:t xml:space="preserve"> organické anionty (OATP</w:t>
      </w:r>
      <w:proofErr w:type="gramStart"/>
      <w:r>
        <w:t>)1B1</w:t>
      </w:r>
      <w:proofErr w:type="gramEnd"/>
      <w:r w:rsidR="00117369">
        <w:t>,</w:t>
      </w:r>
      <w:r>
        <w:t xml:space="preserve"> OATP1B3, transportérů organických aniontů (OAT) 1 a 3. </w:t>
      </w:r>
      <w:r w:rsidR="00117369">
        <w:t>Nicméně, r</w:t>
      </w:r>
      <w:r>
        <w:t xml:space="preserve">isdiplam a jeho metabolit M1 jsou </w:t>
      </w:r>
      <w:r>
        <w:rPr>
          <w:i/>
        </w:rPr>
        <w:t>in vitro</w:t>
      </w:r>
      <w:r>
        <w:t xml:space="preserve"> inhibitory lidského transportéru organických kationtů 2 (OCT2) a transportérů zajišťujících extruzi mnohočetných léků a toxických sloučenin (MATE</w:t>
      </w:r>
      <w:proofErr w:type="gramStart"/>
      <w:r>
        <w:t>)1</w:t>
      </w:r>
      <w:proofErr w:type="gramEnd"/>
      <w:r>
        <w:t xml:space="preserve"> a MATE2-K. Při terapeutických koncentracích léčiv se neočekává žádná interakce se substráty OCT2. </w:t>
      </w:r>
      <w:r w:rsidR="00B97843">
        <w:t xml:space="preserve">Účinek souběžného podání risdiplamu </w:t>
      </w:r>
      <w:proofErr w:type="gramStart"/>
      <w:r w:rsidR="00B97843">
        <w:t>na</w:t>
      </w:r>
      <w:proofErr w:type="gramEnd"/>
      <w:r w:rsidR="00B97843">
        <w:t xml:space="preserve"> farmakokinetiku substrátů MATE1 a MATE2-K u člověka není znám. Risdiplam může podle údajů </w:t>
      </w:r>
      <w:r w:rsidR="00B97843" w:rsidRPr="00C32ED0">
        <w:rPr>
          <w:i/>
          <w:iCs/>
        </w:rPr>
        <w:t>in vitro</w:t>
      </w:r>
      <w:r w:rsidR="00B97843">
        <w:t xml:space="preserve"> zvyšovat plazmatické koncentrace </w:t>
      </w:r>
      <w:r w:rsidR="003520A6">
        <w:t>léčivých přípravků</w:t>
      </w:r>
      <w:r w:rsidR="00B97843">
        <w:t xml:space="preserve"> vylučovaných pomocí MATE1 nebo MATE2-K, jako je metformin. Nelze-li se souběžnému podání vyhnout, je třeba sledovat lékové toxicity a v případě potřeby je třeba zvážit snížení dávky souběžně podávaného </w:t>
      </w:r>
      <w:r w:rsidR="003520A6">
        <w:t>léčivého přípravku</w:t>
      </w:r>
      <w:r w:rsidR="00B97843">
        <w:t>.</w:t>
      </w:r>
    </w:p>
    <w:p w14:paraId="06730B83" w14:textId="77777777" w:rsidR="001263D0" w:rsidRDefault="001263D0"/>
    <w:p w14:paraId="06730B84" w14:textId="77777777" w:rsidR="003520A6" w:rsidRDefault="00040CEC" w:rsidP="00040CEC">
      <w:r>
        <w:t xml:space="preserve">Nejsou k dispozici žádné údaje o účinnosti ani bezpečnosti, které by podporovaly souběžné užívání risdiplamu a nusinersenu. </w:t>
      </w:r>
    </w:p>
    <w:p w14:paraId="06730B85" w14:textId="77777777" w:rsidR="00040CEC" w:rsidRDefault="00040CEC" w:rsidP="00040CEC"/>
    <w:p w14:paraId="06730B86" w14:textId="77777777" w:rsidR="00040CEC" w:rsidRDefault="00040CEC" w:rsidP="00040CEC">
      <w:r>
        <w:t>Možnost synergických účinků souběžného podávání risdiplamu a retinotoxických léků nebyla hodnocena. Při souběžném užívání léků se známou či suspektní retinální toxicitou se proto doporučuje opatrnost.</w:t>
      </w:r>
    </w:p>
    <w:p w14:paraId="06730B87" w14:textId="77777777" w:rsidR="003520A6" w:rsidRDefault="003520A6"/>
    <w:p w14:paraId="06730B88" w14:textId="77777777" w:rsidR="001263D0" w:rsidRPr="00F5763B" w:rsidRDefault="00835E4A">
      <w:pPr>
        <w:ind w:left="567" w:hanging="567"/>
        <w:rPr>
          <w:lang w:val="es-ES"/>
        </w:rPr>
      </w:pPr>
      <w:r w:rsidRPr="00F5763B">
        <w:rPr>
          <w:b/>
          <w:lang w:val="es-ES"/>
        </w:rPr>
        <w:t>4.6</w:t>
      </w:r>
      <w:r w:rsidRPr="00F5763B">
        <w:rPr>
          <w:b/>
          <w:lang w:val="es-ES"/>
        </w:rPr>
        <w:tab/>
        <w:t>Fertilita, těhotenství a kojení</w:t>
      </w:r>
    </w:p>
    <w:p w14:paraId="06730B89" w14:textId="77777777" w:rsidR="001263D0" w:rsidRPr="00F5763B" w:rsidRDefault="001263D0">
      <w:pPr>
        <w:rPr>
          <w:lang w:val="es-ES"/>
        </w:rPr>
      </w:pPr>
    </w:p>
    <w:p w14:paraId="06730B8A" w14:textId="77777777" w:rsidR="001263D0" w:rsidRPr="00F5763B" w:rsidRDefault="00835E4A">
      <w:pPr>
        <w:rPr>
          <w:u w:val="single"/>
          <w:lang w:val="es-ES"/>
        </w:rPr>
      </w:pPr>
      <w:r w:rsidRPr="00F5763B">
        <w:rPr>
          <w:u w:val="single"/>
          <w:lang w:val="es-ES"/>
        </w:rPr>
        <w:t>Pacienti ve fertilním věku</w:t>
      </w:r>
    </w:p>
    <w:p w14:paraId="06730B8B" w14:textId="77777777" w:rsidR="001263D0" w:rsidRPr="00F5763B" w:rsidRDefault="001263D0">
      <w:pPr>
        <w:rPr>
          <w:lang w:val="es-ES"/>
        </w:rPr>
      </w:pPr>
    </w:p>
    <w:p w14:paraId="06730B8C" w14:textId="77777777" w:rsidR="001263D0" w:rsidRPr="00F5763B" w:rsidRDefault="00835E4A">
      <w:pPr>
        <w:rPr>
          <w:i/>
          <w:lang w:val="es-ES"/>
        </w:rPr>
      </w:pPr>
      <w:r w:rsidRPr="00F5763B">
        <w:rPr>
          <w:i/>
          <w:lang w:val="es-ES"/>
        </w:rPr>
        <w:t>Antikoncepce u mužů a žen</w:t>
      </w:r>
    </w:p>
    <w:p w14:paraId="06730B8D" w14:textId="77777777" w:rsidR="001263D0" w:rsidRPr="00F5763B" w:rsidRDefault="00835E4A">
      <w:pPr>
        <w:rPr>
          <w:lang w:val="es-ES"/>
        </w:rPr>
      </w:pPr>
      <w:r w:rsidRPr="00F5763B">
        <w:rPr>
          <w:lang w:val="es-ES"/>
        </w:rPr>
        <w:t>Muži i ženy ve fertilním věku mají dodržovat následující požadavky na antikoncepci:</w:t>
      </w:r>
    </w:p>
    <w:p w14:paraId="06730B8E" w14:textId="77777777" w:rsidR="001263D0" w:rsidRPr="00F5763B" w:rsidRDefault="001263D0">
      <w:pPr>
        <w:rPr>
          <w:lang w:val="es-ES"/>
        </w:rPr>
      </w:pPr>
    </w:p>
    <w:p w14:paraId="06730B8F" w14:textId="77777777" w:rsidR="001263D0" w:rsidRPr="00F5763B" w:rsidRDefault="00A83511" w:rsidP="00960A95">
      <w:pPr>
        <w:ind w:left="567" w:hanging="567"/>
        <w:rPr>
          <w:lang w:val="es-ES"/>
        </w:rPr>
      </w:pPr>
      <w:r w:rsidRPr="00F5763B">
        <w:rPr>
          <w:sz w:val="16"/>
          <w:szCs w:val="16"/>
          <w:lang w:val="es-ES"/>
        </w:rPr>
        <w:t>●</w:t>
      </w:r>
      <w:r w:rsidRPr="00F5763B">
        <w:rPr>
          <w:lang w:val="es-ES"/>
        </w:rPr>
        <w:tab/>
      </w:r>
      <w:r w:rsidR="00835E4A" w:rsidRPr="00F5763B">
        <w:rPr>
          <w:lang w:val="es-ES"/>
        </w:rPr>
        <w:t>Pacientky ve fertilním věku mají používat vysoce účinnou antikoncepci během léčby a nejméně 1 měsíc po poslední dávce.</w:t>
      </w:r>
    </w:p>
    <w:p w14:paraId="06730B90" w14:textId="77777777" w:rsidR="001263D0" w:rsidRPr="00F5763B" w:rsidRDefault="001263D0">
      <w:pPr>
        <w:ind w:left="284" w:hanging="284"/>
        <w:rPr>
          <w:lang w:val="es-ES"/>
        </w:rPr>
      </w:pPr>
    </w:p>
    <w:p w14:paraId="06730B91" w14:textId="77777777" w:rsidR="001263D0" w:rsidRPr="00F5763B" w:rsidRDefault="00A83511" w:rsidP="00960A95">
      <w:pPr>
        <w:ind w:left="567" w:hanging="567"/>
        <w:rPr>
          <w:lang w:val="es-ES"/>
        </w:rPr>
      </w:pPr>
      <w:r w:rsidRPr="00F5763B">
        <w:rPr>
          <w:sz w:val="16"/>
          <w:szCs w:val="16"/>
          <w:lang w:val="es-ES"/>
        </w:rPr>
        <w:t>●</w:t>
      </w:r>
      <w:r w:rsidRPr="00F5763B">
        <w:rPr>
          <w:lang w:val="es-ES"/>
        </w:rPr>
        <w:tab/>
      </w:r>
      <w:r w:rsidR="00835E4A" w:rsidRPr="00F5763B">
        <w:rPr>
          <w:lang w:val="es-ES"/>
        </w:rPr>
        <w:t>Pacienti s partnerkou ve fertilním věku mají používat vysoce účinnou antikoncepci během léčby a nejméně 4 měsíce po poslední dávce.</w:t>
      </w:r>
    </w:p>
    <w:p w14:paraId="06730B92" w14:textId="77777777" w:rsidR="001263D0" w:rsidRPr="00F5763B" w:rsidRDefault="001263D0">
      <w:pPr>
        <w:rPr>
          <w:lang w:val="es-ES"/>
        </w:rPr>
      </w:pPr>
    </w:p>
    <w:p w14:paraId="06730B93" w14:textId="77777777" w:rsidR="001263D0" w:rsidRPr="00F5763B" w:rsidRDefault="00835E4A">
      <w:pPr>
        <w:rPr>
          <w:i/>
          <w:lang w:val="es-ES"/>
        </w:rPr>
      </w:pPr>
      <w:r w:rsidRPr="00F5763B">
        <w:rPr>
          <w:i/>
          <w:lang w:val="es-ES"/>
        </w:rPr>
        <w:t>Těhotenské testy</w:t>
      </w:r>
    </w:p>
    <w:p w14:paraId="06730B94" w14:textId="77777777" w:rsidR="001263D0" w:rsidRPr="00F5763B" w:rsidRDefault="00835E4A">
      <w:pPr>
        <w:rPr>
          <w:lang w:val="es-ES"/>
        </w:rPr>
      </w:pPr>
      <w:r w:rsidRPr="00F5763B">
        <w:rPr>
          <w:lang w:val="es-ES"/>
        </w:rPr>
        <w:t xml:space="preserve">U pacientek ve fertilním věku je třeba před zahájením léčby </w:t>
      </w:r>
      <w:r w:rsidR="00B97843" w:rsidRPr="00F5763B">
        <w:rPr>
          <w:lang w:val="es-ES"/>
        </w:rPr>
        <w:t xml:space="preserve">přípravkem </w:t>
      </w:r>
      <w:r w:rsidRPr="00F5763B">
        <w:rPr>
          <w:lang w:val="es-ES"/>
        </w:rPr>
        <w:t>Evrysdi zkontrolovat případné těhotenství. Těhotné pacientky je třeba jednoznačně poučit o možném riziku pro plod.</w:t>
      </w:r>
    </w:p>
    <w:p w14:paraId="06730B95" w14:textId="77777777" w:rsidR="001263D0" w:rsidRPr="00F5763B" w:rsidRDefault="001263D0">
      <w:pPr>
        <w:rPr>
          <w:lang w:val="es-ES"/>
        </w:rPr>
      </w:pPr>
    </w:p>
    <w:p w14:paraId="06730B96" w14:textId="77777777" w:rsidR="001263D0" w:rsidRPr="00F5763B" w:rsidRDefault="00835E4A">
      <w:pPr>
        <w:rPr>
          <w:u w:val="single"/>
          <w:lang w:val="es-ES"/>
        </w:rPr>
      </w:pPr>
      <w:r w:rsidRPr="00F5763B">
        <w:rPr>
          <w:u w:val="single"/>
          <w:lang w:val="es-ES"/>
        </w:rPr>
        <w:t>Těhotenství</w:t>
      </w:r>
    </w:p>
    <w:p w14:paraId="06730B97" w14:textId="77777777" w:rsidR="001263D0" w:rsidRPr="00F5763B" w:rsidRDefault="001263D0">
      <w:pPr>
        <w:rPr>
          <w:u w:val="single"/>
          <w:lang w:val="es-ES"/>
        </w:rPr>
      </w:pPr>
    </w:p>
    <w:p w14:paraId="06730B98" w14:textId="77777777" w:rsidR="00472B97" w:rsidRPr="00F5763B" w:rsidRDefault="00472B97" w:rsidP="00472B97">
      <w:pPr>
        <w:rPr>
          <w:lang w:val="es-ES"/>
        </w:rPr>
      </w:pPr>
      <w:r w:rsidRPr="00F5763B">
        <w:rPr>
          <w:lang w:val="es-ES"/>
        </w:rPr>
        <w:t>Údaje o </w:t>
      </w:r>
      <w:r w:rsidR="00FB4100" w:rsidRPr="00F5763B">
        <w:rPr>
          <w:lang w:val="es-ES"/>
        </w:rPr>
        <w:t>podávání</w:t>
      </w:r>
      <w:r w:rsidRPr="00F5763B">
        <w:rPr>
          <w:lang w:val="es-ES"/>
        </w:rPr>
        <w:t xml:space="preserve"> přípravku Evrysdi </w:t>
      </w:r>
      <w:r w:rsidR="00FB4100" w:rsidRPr="00F5763B">
        <w:rPr>
          <w:lang w:val="es-ES"/>
        </w:rPr>
        <w:t>těhotným ženám</w:t>
      </w:r>
      <w:r w:rsidRPr="00F5763B">
        <w:rPr>
          <w:lang w:val="es-ES"/>
        </w:rPr>
        <w:t xml:space="preserve"> nejsou k dispozici. Studie na zvířatech prokázaly reprodukční toxicitu (viz bod 5.3).</w:t>
      </w:r>
    </w:p>
    <w:p w14:paraId="06730B99" w14:textId="77777777" w:rsidR="00472B97" w:rsidRPr="00F5763B" w:rsidRDefault="00472B97" w:rsidP="00472B97">
      <w:pPr>
        <w:rPr>
          <w:lang w:val="es-ES"/>
        </w:rPr>
      </w:pPr>
    </w:p>
    <w:p w14:paraId="06730B9A" w14:textId="77777777" w:rsidR="001263D0" w:rsidRPr="00F5763B" w:rsidRDefault="00FB4100">
      <w:pPr>
        <w:rPr>
          <w:lang w:val="es-ES"/>
        </w:rPr>
      </w:pPr>
      <w:r w:rsidRPr="00F5763B">
        <w:rPr>
          <w:lang w:val="es-ES"/>
        </w:rPr>
        <w:t>Podávání</w:t>
      </w:r>
      <w:r w:rsidR="00472B97" w:rsidRPr="00F5763B">
        <w:rPr>
          <w:lang w:val="es-ES"/>
        </w:rPr>
        <w:t xml:space="preserve"> přípravku Evrysdi </w:t>
      </w:r>
      <w:r w:rsidRPr="00F5763B">
        <w:rPr>
          <w:lang w:val="es-ES"/>
        </w:rPr>
        <w:t>se v těhotenství</w:t>
      </w:r>
      <w:r w:rsidR="00472B97" w:rsidRPr="00F5763B">
        <w:rPr>
          <w:lang w:val="es-ES"/>
        </w:rPr>
        <w:t xml:space="preserve"> a </w:t>
      </w:r>
      <w:r w:rsidRPr="00F5763B">
        <w:rPr>
          <w:lang w:val="es-ES"/>
        </w:rPr>
        <w:t xml:space="preserve">u </w:t>
      </w:r>
      <w:r w:rsidR="00472B97" w:rsidRPr="00F5763B">
        <w:rPr>
          <w:lang w:val="es-ES"/>
        </w:rPr>
        <w:t>žen ve fertilním věku</w:t>
      </w:r>
      <w:r w:rsidRPr="00F5763B">
        <w:rPr>
          <w:lang w:val="es-ES"/>
        </w:rPr>
        <w:t>, které</w:t>
      </w:r>
      <w:r w:rsidR="00472B97" w:rsidRPr="00F5763B">
        <w:rPr>
          <w:lang w:val="es-ES"/>
        </w:rPr>
        <w:t xml:space="preserve"> nepoužívají antikoncepc</w:t>
      </w:r>
      <w:r w:rsidRPr="00F5763B">
        <w:rPr>
          <w:lang w:val="es-ES"/>
        </w:rPr>
        <w:t>i,</w:t>
      </w:r>
      <w:r w:rsidR="00472B97" w:rsidRPr="00F5763B">
        <w:rPr>
          <w:lang w:val="es-ES"/>
        </w:rPr>
        <w:t xml:space="preserve"> nedoporučuje (viz bod 4.4).</w:t>
      </w:r>
    </w:p>
    <w:p w14:paraId="06730B9B" w14:textId="77777777" w:rsidR="003A65A5" w:rsidRPr="00F5763B" w:rsidRDefault="003A65A5">
      <w:pPr>
        <w:rPr>
          <w:u w:val="single"/>
          <w:lang w:val="es-ES"/>
        </w:rPr>
      </w:pPr>
    </w:p>
    <w:p w14:paraId="06730B9C" w14:textId="77777777" w:rsidR="001263D0" w:rsidRPr="00F5763B" w:rsidRDefault="00835E4A" w:rsidP="00721B88">
      <w:pPr>
        <w:keepNext/>
        <w:keepLines/>
        <w:rPr>
          <w:u w:val="single"/>
          <w:lang w:val="es-ES"/>
        </w:rPr>
      </w:pPr>
      <w:r w:rsidRPr="00F5763B">
        <w:rPr>
          <w:u w:val="single"/>
          <w:lang w:val="es-ES"/>
        </w:rPr>
        <w:lastRenderedPageBreak/>
        <w:t>Kojení</w:t>
      </w:r>
    </w:p>
    <w:p w14:paraId="06730B9D" w14:textId="77777777" w:rsidR="001263D0" w:rsidRPr="00F5763B" w:rsidRDefault="001263D0" w:rsidP="00721B88">
      <w:pPr>
        <w:keepNext/>
        <w:keepLines/>
        <w:rPr>
          <w:lang w:val="es-ES"/>
        </w:rPr>
      </w:pPr>
    </w:p>
    <w:p w14:paraId="06730B9E" w14:textId="77777777" w:rsidR="001263D0" w:rsidRPr="00F5763B" w:rsidRDefault="00835E4A" w:rsidP="00721B88">
      <w:pPr>
        <w:keepNext/>
        <w:keepLines/>
        <w:rPr>
          <w:lang w:val="pt-BR"/>
        </w:rPr>
      </w:pPr>
      <w:r w:rsidRPr="00F5763B">
        <w:rPr>
          <w:lang w:val="es-ES"/>
        </w:rPr>
        <w:t xml:space="preserve">Není známo, zda se risdiplam vylučuje do lidského mateřského mléka. </w:t>
      </w:r>
      <w:r w:rsidRPr="00F5763B">
        <w:rPr>
          <w:lang w:val="pt-BR"/>
        </w:rPr>
        <w:t xml:space="preserve">Ve studiích na potkanech se risdiplam do mléka vylučoval (viz bod 5.3). </w:t>
      </w:r>
      <w:r w:rsidR="00C616AA" w:rsidRPr="00F5763B">
        <w:rPr>
          <w:lang w:val="pt-BR"/>
        </w:rPr>
        <w:t>Protože m</w:t>
      </w:r>
      <w:r w:rsidRPr="00F5763B">
        <w:rPr>
          <w:lang w:val="pt-BR"/>
        </w:rPr>
        <w:t xml:space="preserve">ožné riziko pro kojence není známo, </w:t>
      </w:r>
      <w:r w:rsidR="00C616AA" w:rsidRPr="00F5763B">
        <w:rPr>
          <w:lang w:val="pt-BR"/>
        </w:rPr>
        <w:t>nedoporučuje se b</w:t>
      </w:r>
      <w:r w:rsidRPr="00F5763B">
        <w:rPr>
          <w:lang w:val="pt-BR"/>
        </w:rPr>
        <w:t>ěhem léčby kojit.</w:t>
      </w:r>
    </w:p>
    <w:p w14:paraId="06730B9F" w14:textId="77777777" w:rsidR="001263D0" w:rsidRPr="00F5763B" w:rsidRDefault="001263D0">
      <w:pPr>
        <w:rPr>
          <w:lang w:val="pt-BR"/>
        </w:rPr>
      </w:pPr>
    </w:p>
    <w:p w14:paraId="06730BA0" w14:textId="77777777" w:rsidR="001263D0" w:rsidRPr="00F5763B" w:rsidRDefault="00835E4A">
      <w:pPr>
        <w:rPr>
          <w:lang w:val="pt-BR"/>
        </w:rPr>
      </w:pPr>
      <w:r w:rsidRPr="00F5763B">
        <w:rPr>
          <w:u w:val="single"/>
          <w:lang w:val="pt-BR"/>
        </w:rPr>
        <w:t>Fertilita</w:t>
      </w:r>
    </w:p>
    <w:p w14:paraId="06730BA1" w14:textId="77777777" w:rsidR="001263D0" w:rsidRPr="00F5763B" w:rsidRDefault="001263D0">
      <w:pPr>
        <w:rPr>
          <w:i/>
          <w:lang w:val="pt-BR"/>
        </w:rPr>
      </w:pPr>
    </w:p>
    <w:p w14:paraId="06730BA2" w14:textId="77777777" w:rsidR="001263D0" w:rsidRPr="00F5763B" w:rsidRDefault="00835E4A">
      <w:pPr>
        <w:rPr>
          <w:lang w:val="pt-BR"/>
        </w:rPr>
      </w:pPr>
      <w:r w:rsidRPr="00F5763B">
        <w:rPr>
          <w:i/>
          <w:lang w:val="pt-BR"/>
        </w:rPr>
        <w:t>Muži</w:t>
      </w:r>
      <w:r w:rsidRPr="00F5763B">
        <w:rPr>
          <w:lang w:val="pt-BR"/>
        </w:rPr>
        <w:t xml:space="preserve"> </w:t>
      </w:r>
    </w:p>
    <w:p w14:paraId="06730BA3" w14:textId="77777777" w:rsidR="001263D0" w:rsidRPr="00F5763B" w:rsidRDefault="001263D0">
      <w:pPr>
        <w:rPr>
          <w:lang w:val="pt-BR"/>
        </w:rPr>
      </w:pPr>
    </w:p>
    <w:p w14:paraId="06730BA4" w14:textId="77777777" w:rsidR="001263D0" w:rsidRPr="00F5763B" w:rsidRDefault="00835E4A">
      <w:pPr>
        <w:rPr>
          <w:lang w:val="pt-BR"/>
        </w:rPr>
      </w:pPr>
      <w:r w:rsidRPr="00F5763B">
        <w:rPr>
          <w:lang w:val="pt-BR"/>
        </w:rPr>
        <w:t xml:space="preserve">Podle neklinických údajů může léčba ohrozit mužskou </w:t>
      </w:r>
      <w:r w:rsidR="005C7AD5" w:rsidRPr="00F5763B">
        <w:rPr>
          <w:lang w:val="pt-BR"/>
        </w:rPr>
        <w:t>fertilitu</w:t>
      </w:r>
      <w:r w:rsidRPr="00F5763B">
        <w:rPr>
          <w:lang w:val="pt-BR"/>
        </w:rPr>
        <w:t xml:space="preserve">. V reprodukčních orgánech potkanů a opic byla zjištěna degenerace a snížený počet spermií (viz bod 5.3). </w:t>
      </w:r>
      <w:r w:rsidR="00E36BCC" w:rsidRPr="00F5763B">
        <w:rPr>
          <w:lang w:val="pt-BR"/>
        </w:rPr>
        <w:t>Na základě studií na zvířatech se předpokládá, že účinky na semenné buňky budou po vysazení risdiplamu reverzibilní.</w:t>
      </w:r>
      <w:r w:rsidRPr="00F5763B">
        <w:rPr>
          <w:lang w:val="pt-BR"/>
        </w:rPr>
        <w:t xml:space="preserve"> </w:t>
      </w:r>
    </w:p>
    <w:p w14:paraId="06730BA5" w14:textId="77777777" w:rsidR="001263D0" w:rsidRPr="00F5763B" w:rsidRDefault="001263D0">
      <w:pPr>
        <w:rPr>
          <w:lang w:val="pt-BR"/>
        </w:rPr>
      </w:pPr>
    </w:p>
    <w:p w14:paraId="06730BA6" w14:textId="77777777" w:rsidR="001263D0" w:rsidRPr="00344835" w:rsidRDefault="00835E4A">
      <w:pPr>
        <w:rPr>
          <w:lang w:val="pt-BR"/>
        </w:rPr>
      </w:pPr>
      <w:r w:rsidRPr="00F5763B">
        <w:rPr>
          <w:lang w:val="pt-BR"/>
        </w:rPr>
        <w:t xml:space="preserve">Muži mohou zvážit konzervaci semene před zahájením léčby nebo nejméně po 4 měsících bez léčby. </w:t>
      </w:r>
      <w:r w:rsidRPr="00344835">
        <w:rPr>
          <w:lang w:val="pt-BR"/>
        </w:rPr>
        <w:t xml:space="preserve">Muži, kteří chtějí počít, mají léčbu nejméně na 4 měsíce přerušit. Po početí lze léčbu opět zahájit.  </w:t>
      </w:r>
    </w:p>
    <w:p w14:paraId="06730BA7" w14:textId="77777777" w:rsidR="001263D0" w:rsidRPr="00344835" w:rsidRDefault="001263D0">
      <w:pPr>
        <w:rPr>
          <w:i/>
          <w:lang w:val="pt-BR"/>
        </w:rPr>
      </w:pPr>
    </w:p>
    <w:p w14:paraId="06730BA8" w14:textId="77777777" w:rsidR="001263D0" w:rsidRPr="00344835" w:rsidRDefault="00835E4A">
      <w:pPr>
        <w:rPr>
          <w:lang w:val="pt-BR"/>
        </w:rPr>
      </w:pPr>
      <w:r w:rsidRPr="00344835">
        <w:rPr>
          <w:i/>
          <w:lang w:val="pt-BR"/>
        </w:rPr>
        <w:t>Ženy</w:t>
      </w:r>
      <w:r w:rsidRPr="00344835">
        <w:rPr>
          <w:lang w:val="pt-BR"/>
        </w:rPr>
        <w:t xml:space="preserve"> </w:t>
      </w:r>
    </w:p>
    <w:p w14:paraId="06730BA9" w14:textId="77777777" w:rsidR="001263D0" w:rsidRPr="00344835" w:rsidRDefault="001263D0">
      <w:pPr>
        <w:rPr>
          <w:lang w:val="pt-BR"/>
        </w:rPr>
      </w:pPr>
    </w:p>
    <w:p w14:paraId="06730BAA" w14:textId="77777777" w:rsidR="001263D0" w:rsidRPr="00344835" w:rsidRDefault="00835E4A">
      <w:pPr>
        <w:rPr>
          <w:lang w:val="pt-BR"/>
        </w:rPr>
      </w:pPr>
      <w:r w:rsidRPr="00344835">
        <w:rPr>
          <w:lang w:val="pt-BR"/>
        </w:rPr>
        <w:t xml:space="preserve">Na základě neklinických údajů (viz bod 5.3) se neočekává účinek risdiplamu na ženskou </w:t>
      </w:r>
      <w:r w:rsidR="005C7AD5" w:rsidRPr="00344835">
        <w:rPr>
          <w:lang w:val="pt-BR"/>
        </w:rPr>
        <w:t>fertilitu</w:t>
      </w:r>
      <w:r w:rsidRPr="00344835">
        <w:rPr>
          <w:lang w:val="pt-BR"/>
        </w:rPr>
        <w:t>.</w:t>
      </w:r>
    </w:p>
    <w:p w14:paraId="06730BAB" w14:textId="77777777" w:rsidR="001263D0" w:rsidRPr="00344835" w:rsidRDefault="001263D0">
      <w:pPr>
        <w:rPr>
          <w:i/>
          <w:lang w:val="pt-BR"/>
        </w:rPr>
      </w:pPr>
    </w:p>
    <w:p w14:paraId="06730BAC" w14:textId="77777777" w:rsidR="001263D0" w:rsidRPr="00344835" w:rsidRDefault="00835E4A">
      <w:pPr>
        <w:ind w:left="567" w:hanging="567"/>
        <w:rPr>
          <w:lang w:val="pt-BR"/>
        </w:rPr>
      </w:pPr>
      <w:r w:rsidRPr="00344835">
        <w:rPr>
          <w:b/>
          <w:lang w:val="pt-BR"/>
        </w:rPr>
        <w:t>4.7</w:t>
      </w:r>
      <w:r w:rsidRPr="00344835">
        <w:rPr>
          <w:b/>
          <w:lang w:val="pt-BR"/>
        </w:rPr>
        <w:tab/>
        <w:t>Účinky na schopnost řídit a obsluhovat stroje</w:t>
      </w:r>
    </w:p>
    <w:p w14:paraId="06730BAD" w14:textId="77777777" w:rsidR="001263D0" w:rsidRPr="00344835" w:rsidRDefault="001263D0">
      <w:pPr>
        <w:rPr>
          <w:lang w:val="pt-BR"/>
        </w:rPr>
      </w:pPr>
    </w:p>
    <w:p w14:paraId="06730BAE" w14:textId="77777777" w:rsidR="001263D0" w:rsidRPr="00344835" w:rsidRDefault="00835E4A">
      <w:pPr>
        <w:rPr>
          <w:lang w:val="pt-BR"/>
        </w:rPr>
      </w:pPr>
      <w:r w:rsidRPr="00344835">
        <w:rPr>
          <w:lang w:val="pt-BR"/>
        </w:rPr>
        <w:t>Přípravek Evrysdi nemá žádný nebo má zanedbatelný vliv na schopnost řídit nebo obsluhovat stroje.</w:t>
      </w:r>
    </w:p>
    <w:p w14:paraId="06730BAF" w14:textId="77777777" w:rsidR="001263D0" w:rsidRPr="00344835" w:rsidRDefault="001263D0">
      <w:pPr>
        <w:rPr>
          <w:lang w:val="pt-BR"/>
        </w:rPr>
      </w:pPr>
    </w:p>
    <w:p w14:paraId="06730BB0" w14:textId="77777777" w:rsidR="001263D0" w:rsidRPr="00344835" w:rsidRDefault="00835E4A" w:rsidP="00960A95">
      <w:pPr>
        <w:ind w:left="567" w:hanging="567"/>
        <w:rPr>
          <w:b/>
          <w:lang w:val="pt-BR"/>
        </w:rPr>
      </w:pPr>
      <w:r w:rsidRPr="00344835">
        <w:rPr>
          <w:b/>
          <w:lang w:val="pt-BR"/>
        </w:rPr>
        <w:t>4.8</w:t>
      </w:r>
      <w:r w:rsidRPr="00344835">
        <w:rPr>
          <w:b/>
          <w:lang w:val="pt-BR"/>
        </w:rPr>
        <w:tab/>
        <w:t>Nežádoucí účinky</w:t>
      </w:r>
    </w:p>
    <w:p w14:paraId="06730BB1" w14:textId="77777777" w:rsidR="001263D0" w:rsidRPr="00344835" w:rsidRDefault="001263D0">
      <w:pPr>
        <w:jc w:val="both"/>
        <w:rPr>
          <w:lang w:val="pt-BR"/>
        </w:rPr>
      </w:pPr>
    </w:p>
    <w:p w14:paraId="06730BB2" w14:textId="77777777" w:rsidR="001263D0" w:rsidRPr="00344835" w:rsidRDefault="00835E4A">
      <w:pPr>
        <w:jc w:val="both"/>
        <w:rPr>
          <w:u w:val="single"/>
          <w:lang w:val="pt-BR"/>
        </w:rPr>
      </w:pPr>
      <w:r w:rsidRPr="00344835">
        <w:rPr>
          <w:u w:val="single"/>
          <w:lang w:val="pt-BR"/>
        </w:rPr>
        <w:t>Shrnutí bezpečnostního profilu</w:t>
      </w:r>
    </w:p>
    <w:p w14:paraId="06730BB3" w14:textId="77777777" w:rsidR="001263D0" w:rsidRPr="00344835" w:rsidRDefault="001263D0">
      <w:pPr>
        <w:jc w:val="both"/>
        <w:rPr>
          <w:i/>
          <w:lang w:val="pt-BR"/>
        </w:rPr>
      </w:pPr>
    </w:p>
    <w:p w14:paraId="06730BB4" w14:textId="7493F7F1" w:rsidR="001263D0" w:rsidRPr="00344835" w:rsidRDefault="00CE0F1F">
      <w:pPr>
        <w:keepNext/>
        <w:rPr>
          <w:lang w:val="pt-BR"/>
        </w:rPr>
      </w:pPr>
      <w:r w:rsidRPr="00344835">
        <w:rPr>
          <w:lang w:val="pt-BR"/>
        </w:rPr>
        <w:t xml:space="preserve">U pacientů s SMA s nástupem v dětství </w:t>
      </w:r>
      <w:r w:rsidR="009C2EBD" w:rsidRPr="00344835">
        <w:rPr>
          <w:lang w:val="pt-BR"/>
        </w:rPr>
        <w:t xml:space="preserve">byly </w:t>
      </w:r>
      <w:r w:rsidR="008D7F7F" w:rsidRPr="00344835">
        <w:rPr>
          <w:lang w:val="pt-BR"/>
        </w:rPr>
        <w:t>n</w:t>
      </w:r>
      <w:r w:rsidRPr="00344835">
        <w:rPr>
          <w:lang w:val="pt-BR"/>
        </w:rPr>
        <w:t xml:space="preserve">ejčastějšími </w:t>
      </w:r>
      <w:r w:rsidR="00835E4A" w:rsidRPr="00344835">
        <w:rPr>
          <w:lang w:val="pt-BR"/>
        </w:rPr>
        <w:t xml:space="preserve">nežádoucími účinky zjištěnými v klinických </w:t>
      </w:r>
      <w:r w:rsidR="009C2EBD" w:rsidRPr="00344835">
        <w:rPr>
          <w:lang w:val="pt-BR"/>
        </w:rPr>
        <w:t xml:space="preserve">studiích </w:t>
      </w:r>
      <w:r w:rsidR="008D7F7F" w:rsidRPr="00344835">
        <w:rPr>
          <w:lang w:val="pt-BR"/>
        </w:rPr>
        <w:t xml:space="preserve">s přípravkem Evrysdi </w:t>
      </w:r>
      <w:r w:rsidR="007D188F" w:rsidRPr="00344835">
        <w:rPr>
          <w:lang w:val="pt-BR"/>
        </w:rPr>
        <w:t>pyrexie</w:t>
      </w:r>
      <w:r w:rsidR="009C2EBD" w:rsidRPr="00344835">
        <w:rPr>
          <w:lang w:val="pt-BR"/>
        </w:rPr>
        <w:t xml:space="preserve"> (48,4 %), </w:t>
      </w:r>
      <w:r w:rsidR="00835E4A" w:rsidRPr="00344835">
        <w:rPr>
          <w:lang w:val="pt-BR"/>
        </w:rPr>
        <w:t>vyrážka (27,4 %) a průjem (16,1 %).</w:t>
      </w:r>
    </w:p>
    <w:p w14:paraId="06730BB5" w14:textId="77777777" w:rsidR="001263D0" w:rsidRPr="00344835" w:rsidRDefault="001263D0">
      <w:pPr>
        <w:keepNext/>
        <w:rPr>
          <w:lang w:val="pt-BR"/>
        </w:rPr>
      </w:pPr>
    </w:p>
    <w:p w14:paraId="06730BB6" w14:textId="6B9BBBAE" w:rsidR="001263D0" w:rsidRPr="00344835" w:rsidRDefault="008D7F7F">
      <w:pPr>
        <w:keepNext/>
        <w:rPr>
          <w:lang w:val="pt-BR"/>
        </w:rPr>
      </w:pPr>
      <w:r w:rsidRPr="00344835">
        <w:rPr>
          <w:lang w:val="pt-BR"/>
        </w:rPr>
        <w:t xml:space="preserve">U pacientů s SMA s pozdějším nástupem </w:t>
      </w:r>
      <w:r w:rsidR="00C30831" w:rsidRPr="00344835">
        <w:rPr>
          <w:lang w:val="pt-BR"/>
        </w:rPr>
        <w:t xml:space="preserve">byly </w:t>
      </w:r>
      <w:r w:rsidRPr="00344835">
        <w:rPr>
          <w:lang w:val="pt-BR"/>
        </w:rPr>
        <w:t>n</w:t>
      </w:r>
      <w:r w:rsidR="00835E4A" w:rsidRPr="00344835">
        <w:rPr>
          <w:lang w:val="pt-BR"/>
        </w:rPr>
        <w:t>ejčastějšími nežádoucími účinky zjištěnými v</w:t>
      </w:r>
      <w:r w:rsidR="009A527C" w:rsidRPr="00344835">
        <w:rPr>
          <w:lang w:val="pt-BR"/>
        </w:rPr>
        <w:t xml:space="preserve"> klinických </w:t>
      </w:r>
      <w:r w:rsidR="00C30831" w:rsidRPr="00344835">
        <w:rPr>
          <w:lang w:val="pt-BR"/>
        </w:rPr>
        <w:t xml:space="preserve">studiích </w:t>
      </w:r>
      <w:r w:rsidR="009A527C" w:rsidRPr="00344835">
        <w:rPr>
          <w:lang w:val="pt-BR"/>
        </w:rPr>
        <w:t>s </w:t>
      </w:r>
      <w:r w:rsidR="00835E4A" w:rsidRPr="00344835">
        <w:rPr>
          <w:lang w:val="pt-BR"/>
        </w:rPr>
        <w:t xml:space="preserve">přípravkem Evrysdi </w:t>
      </w:r>
      <w:r w:rsidR="00C03786" w:rsidRPr="00344835">
        <w:rPr>
          <w:lang w:val="pt-BR"/>
        </w:rPr>
        <w:t>pyrexie</w:t>
      </w:r>
      <w:r w:rsidR="00C30831" w:rsidRPr="00344835">
        <w:rPr>
          <w:lang w:val="pt-BR"/>
        </w:rPr>
        <w:t xml:space="preserve"> (21,7 %), bolest hlavy (20,0 %), </w:t>
      </w:r>
      <w:r w:rsidR="00835E4A" w:rsidRPr="00344835">
        <w:rPr>
          <w:lang w:val="pt-BR"/>
        </w:rPr>
        <w:t>průjem (16,7 %) a vyrážka (16,7 %).</w:t>
      </w:r>
    </w:p>
    <w:p w14:paraId="06730BB7" w14:textId="77777777" w:rsidR="001263D0" w:rsidRPr="00344835" w:rsidRDefault="001263D0">
      <w:pPr>
        <w:keepNext/>
        <w:rPr>
          <w:lang w:val="pt-BR"/>
        </w:rPr>
      </w:pPr>
    </w:p>
    <w:p w14:paraId="06730BB8" w14:textId="507BE80A" w:rsidR="001263D0" w:rsidRPr="00344835" w:rsidRDefault="00C30831">
      <w:pPr>
        <w:keepNext/>
        <w:rPr>
          <w:lang w:val="pt-BR"/>
        </w:rPr>
      </w:pPr>
      <w:r w:rsidRPr="00344835">
        <w:rPr>
          <w:lang w:val="pt-BR"/>
        </w:rPr>
        <w:t xml:space="preserve">Výše uvedené nežádoucí </w:t>
      </w:r>
      <w:r w:rsidR="00835E4A" w:rsidRPr="00344835">
        <w:rPr>
          <w:lang w:val="pt-BR"/>
        </w:rPr>
        <w:t xml:space="preserve">účinky se vyskytovaly bez zjevného klinického či časového vzorce a u pacientů s SMA s nástupem v dětství i s pozdějším nástupem přes pokračující léčbu </w:t>
      </w:r>
      <w:r w:rsidRPr="00344835">
        <w:rPr>
          <w:lang w:val="pt-BR"/>
        </w:rPr>
        <w:t xml:space="preserve">obecně </w:t>
      </w:r>
      <w:r w:rsidR="00835E4A" w:rsidRPr="00344835">
        <w:rPr>
          <w:lang w:val="pt-BR"/>
        </w:rPr>
        <w:t>odezněly.</w:t>
      </w:r>
    </w:p>
    <w:p w14:paraId="06730BB9" w14:textId="77777777" w:rsidR="001263D0" w:rsidRPr="00344835" w:rsidRDefault="001263D0">
      <w:pPr>
        <w:keepNext/>
        <w:rPr>
          <w:lang w:val="pt-BR"/>
        </w:rPr>
      </w:pPr>
    </w:p>
    <w:p w14:paraId="06730BBA" w14:textId="77777777" w:rsidR="009831FF" w:rsidRPr="00344835" w:rsidRDefault="009831FF">
      <w:pPr>
        <w:keepNext/>
        <w:rPr>
          <w:lang w:val="pt-BR"/>
        </w:rPr>
      </w:pPr>
      <w:r w:rsidRPr="00344835">
        <w:rPr>
          <w:lang w:val="pt-BR"/>
        </w:rPr>
        <w:t>Viz také bod 5.3 o účincích přípravku Evrysdi pozorovaných v neklinických studiích.</w:t>
      </w:r>
    </w:p>
    <w:p w14:paraId="06730BBB" w14:textId="77777777" w:rsidR="009831FF" w:rsidRPr="00344835" w:rsidRDefault="009831FF">
      <w:pPr>
        <w:keepNext/>
        <w:rPr>
          <w:lang w:val="pt-BR"/>
        </w:rPr>
      </w:pPr>
    </w:p>
    <w:p w14:paraId="06730BBC" w14:textId="77777777" w:rsidR="001263D0" w:rsidRPr="00344835" w:rsidRDefault="00835E4A">
      <w:pPr>
        <w:jc w:val="both"/>
        <w:rPr>
          <w:u w:val="single"/>
          <w:lang w:val="pt-BR"/>
        </w:rPr>
      </w:pPr>
      <w:r w:rsidRPr="00344835">
        <w:rPr>
          <w:u w:val="single"/>
          <w:lang w:val="pt-BR"/>
        </w:rPr>
        <w:t xml:space="preserve">Tabulkový seznam nežádoucích účinků </w:t>
      </w:r>
    </w:p>
    <w:p w14:paraId="06730BBD" w14:textId="77777777" w:rsidR="001263D0" w:rsidRPr="00344835" w:rsidRDefault="001263D0">
      <w:pPr>
        <w:jc w:val="both"/>
        <w:rPr>
          <w:lang w:val="pt-BR"/>
        </w:rPr>
      </w:pPr>
    </w:p>
    <w:p w14:paraId="06730BBE" w14:textId="77777777" w:rsidR="001263D0" w:rsidRPr="00344835" w:rsidRDefault="00835E4A">
      <w:pPr>
        <w:rPr>
          <w:lang w:val="pt-BR"/>
        </w:rPr>
      </w:pPr>
      <w:r w:rsidRPr="00344835">
        <w:rPr>
          <w:lang w:val="pt-BR"/>
        </w:rPr>
        <w:t xml:space="preserve">Četnost nežádoucích účinků se definuje následujícím způsobem: velmi časté (≥ 1/10 pacientů); časté (≥ 1/100 až &lt; 1/10 pacientů); méně časté (≥ 1/1 000 až &lt; 1/100 pacientů); vzácné (≥ 1/10 000 až &lt; 1/1 000 pacientů); velmi vzácné (&lt; 1/10 000 pacientů). Nežádoucí účinky hlášené v klinických </w:t>
      </w:r>
      <w:r w:rsidR="00C30831" w:rsidRPr="00344835">
        <w:rPr>
          <w:lang w:val="pt-BR"/>
        </w:rPr>
        <w:t xml:space="preserve">studiích </w:t>
      </w:r>
      <w:r w:rsidRPr="00344835">
        <w:rPr>
          <w:lang w:val="pt-BR"/>
        </w:rPr>
        <w:t>(tabulka 2) jsou uvedeny podle třídy orgánových systémů MedDRA.</w:t>
      </w:r>
    </w:p>
    <w:p w14:paraId="06730BBF" w14:textId="77777777" w:rsidR="001263D0" w:rsidRPr="00344835" w:rsidRDefault="001263D0">
      <w:pPr>
        <w:rPr>
          <w:lang w:val="pt-BR"/>
        </w:rPr>
      </w:pPr>
    </w:p>
    <w:p w14:paraId="06730BC0" w14:textId="3C819BC7" w:rsidR="001263D0" w:rsidRPr="00344835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152"/>
        </w:tabs>
        <w:ind w:left="1134" w:hanging="1134"/>
        <w:jc w:val="both"/>
        <w:rPr>
          <w:b/>
          <w:color w:val="000000"/>
          <w:lang w:val="pt-BR"/>
        </w:rPr>
      </w:pPr>
      <w:r w:rsidRPr="00344835">
        <w:rPr>
          <w:b/>
          <w:color w:val="000000"/>
          <w:lang w:val="pt-BR"/>
        </w:rPr>
        <w:lastRenderedPageBreak/>
        <w:t xml:space="preserve">Tabulka 2. </w:t>
      </w:r>
      <w:r w:rsidRPr="00344835">
        <w:rPr>
          <w:b/>
          <w:color w:val="000000"/>
          <w:lang w:val="pt-BR"/>
        </w:rPr>
        <w:tab/>
        <w:t xml:space="preserve">Nežádoucí účinky u pacientů s SMA s nástupem v dětství </w:t>
      </w:r>
      <w:r w:rsidR="00C30FB1" w:rsidRPr="00344835">
        <w:rPr>
          <w:b/>
          <w:color w:val="000000"/>
          <w:lang w:val="pt-BR"/>
        </w:rPr>
        <w:t xml:space="preserve">a s pozdějším nástupem </w:t>
      </w:r>
      <w:r w:rsidRPr="00344835">
        <w:rPr>
          <w:b/>
          <w:color w:val="000000"/>
          <w:lang w:val="pt-BR"/>
        </w:rPr>
        <w:t>zjištěné v</w:t>
      </w:r>
      <w:r w:rsidR="00C30FB1" w:rsidRPr="00344835">
        <w:rPr>
          <w:b/>
          <w:color w:val="000000"/>
          <w:lang w:val="pt-BR"/>
        </w:rPr>
        <w:t xml:space="preserve"> klinických </w:t>
      </w:r>
      <w:r w:rsidR="00C30831" w:rsidRPr="00344835">
        <w:rPr>
          <w:b/>
          <w:color w:val="000000"/>
          <w:lang w:val="pt-BR"/>
        </w:rPr>
        <w:t xml:space="preserve">studiích </w:t>
      </w:r>
      <w:r w:rsidR="00C30FB1" w:rsidRPr="00344835">
        <w:rPr>
          <w:b/>
          <w:color w:val="000000"/>
          <w:lang w:val="pt-BR"/>
        </w:rPr>
        <w:t>s</w:t>
      </w:r>
      <w:r w:rsidR="00A72DD9" w:rsidRPr="00344835">
        <w:rPr>
          <w:b/>
          <w:color w:val="000000"/>
          <w:lang w:val="pt-BR"/>
        </w:rPr>
        <w:t> </w:t>
      </w:r>
      <w:r w:rsidR="00C30FB1" w:rsidRPr="00344835">
        <w:rPr>
          <w:b/>
          <w:color w:val="000000"/>
          <w:lang w:val="pt-BR"/>
        </w:rPr>
        <w:t>přípravkem Evrysdi</w:t>
      </w:r>
    </w:p>
    <w:p w14:paraId="06730BC1" w14:textId="77777777" w:rsidR="001263D0" w:rsidRPr="00344835" w:rsidRDefault="001263D0" w:rsidP="00960A95">
      <w:pPr>
        <w:keepNext/>
        <w:keepLines/>
        <w:rPr>
          <w:lang w:val="pt-BR"/>
        </w:rPr>
      </w:pPr>
    </w:p>
    <w:tbl>
      <w:tblPr>
        <w:tblW w:w="92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2997"/>
      </w:tblGrid>
      <w:tr w:rsidR="00E0344B" w:rsidRPr="009E71E0" w14:paraId="06730BC7" w14:textId="77777777" w:rsidTr="005C2288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0BC2" w14:textId="77777777" w:rsidR="00E0344B" w:rsidRPr="00E0344B" w:rsidRDefault="00E0344B" w:rsidP="00960A95">
            <w:pPr>
              <w:keepNext/>
              <w:keepLines/>
              <w:rPr>
                <w:b/>
              </w:rPr>
            </w:pPr>
            <w:r w:rsidRPr="00E0344B">
              <w:rPr>
                <w:b/>
              </w:rPr>
              <w:t>Třída orgánových systémů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0BC3" w14:textId="77777777" w:rsidR="00E0344B" w:rsidRPr="00344835" w:rsidRDefault="00E0344B" w:rsidP="00960A95">
            <w:pPr>
              <w:keepNext/>
              <w:keepLines/>
              <w:jc w:val="center"/>
              <w:rPr>
                <w:lang w:val="pt-BR"/>
              </w:rPr>
            </w:pPr>
            <w:r w:rsidRPr="00344835">
              <w:rPr>
                <w:lang w:val="pt-BR"/>
              </w:rPr>
              <w:t>SMA s</w:t>
            </w:r>
            <w:r w:rsidR="00A72DD9" w:rsidRPr="00344835">
              <w:rPr>
                <w:lang w:val="pt-BR"/>
              </w:rPr>
              <w:t> </w:t>
            </w:r>
            <w:r w:rsidRPr="00344835">
              <w:rPr>
                <w:lang w:val="pt-BR"/>
              </w:rPr>
              <w:t>nástupem v</w:t>
            </w:r>
            <w:r w:rsidR="00A72DD9" w:rsidRPr="00344835">
              <w:rPr>
                <w:lang w:val="pt-BR"/>
              </w:rPr>
              <w:t> </w:t>
            </w:r>
            <w:r w:rsidRPr="00344835">
              <w:rPr>
                <w:lang w:val="pt-BR"/>
              </w:rPr>
              <w:t>dětství</w:t>
            </w:r>
          </w:p>
          <w:p w14:paraId="06730BC4" w14:textId="77777777" w:rsidR="00E0344B" w:rsidRPr="00344835" w:rsidRDefault="00E0344B" w:rsidP="00960A95">
            <w:pPr>
              <w:keepNext/>
              <w:keepLines/>
              <w:jc w:val="center"/>
              <w:rPr>
                <w:b/>
                <w:lang w:val="pt-BR"/>
              </w:rPr>
            </w:pPr>
            <w:r w:rsidRPr="00344835">
              <w:rPr>
                <w:lang w:val="pt-BR"/>
              </w:rPr>
              <w:t>(1. typ)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0BC5" w14:textId="77777777" w:rsidR="00E0344B" w:rsidRPr="00344835" w:rsidRDefault="00E0344B" w:rsidP="00960A95">
            <w:pPr>
              <w:keepNext/>
              <w:keepLines/>
              <w:jc w:val="center"/>
              <w:rPr>
                <w:lang w:val="pt-BR"/>
              </w:rPr>
            </w:pPr>
            <w:r w:rsidRPr="00344835">
              <w:rPr>
                <w:lang w:val="pt-BR"/>
              </w:rPr>
              <w:t>SMA s</w:t>
            </w:r>
            <w:r w:rsidR="00A72DD9" w:rsidRPr="00344835">
              <w:rPr>
                <w:lang w:val="pt-BR"/>
              </w:rPr>
              <w:t> </w:t>
            </w:r>
            <w:r w:rsidRPr="00344835">
              <w:rPr>
                <w:lang w:val="pt-BR"/>
              </w:rPr>
              <w:t>pozdějším nástupem</w:t>
            </w:r>
          </w:p>
          <w:p w14:paraId="06730BC6" w14:textId="77777777" w:rsidR="00E0344B" w:rsidRPr="00344835" w:rsidRDefault="00E0344B" w:rsidP="00960A95">
            <w:pPr>
              <w:keepNext/>
              <w:keepLines/>
              <w:jc w:val="center"/>
              <w:rPr>
                <w:b/>
                <w:lang w:val="pt-BR"/>
              </w:rPr>
            </w:pPr>
            <w:r w:rsidRPr="00344835">
              <w:rPr>
                <w:lang w:val="pt-BR"/>
              </w:rPr>
              <w:t>(2. a 3. typ)</w:t>
            </w:r>
          </w:p>
        </w:tc>
      </w:tr>
      <w:tr w:rsidR="00E0344B" w:rsidRPr="00E0344B" w14:paraId="06730BC9" w14:textId="77777777" w:rsidTr="005C2288">
        <w:trPr>
          <w:trHeight w:val="20"/>
        </w:trPr>
        <w:tc>
          <w:tcPr>
            <w:tcW w:w="92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0BC8" w14:textId="77777777" w:rsidR="00E0344B" w:rsidRPr="00E0344B" w:rsidRDefault="00E0344B" w:rsidP="00960A95">
            <w:pPr>
              <w:keepNext/>
              <w:keepLines/>
              <w:rPr>
                <w:b/>
              </w:rPr>
            </w:pPr>
            <w:r w:rsidRPr="00E0344B">
              <w:rPr>
                <w:b/>
              </w:rPr>
              <w:t>Gastrointestinální poruchy</w:t>
            </w:r>
          </w:p>
        </w:tc>
      </w:tr>
      <w:tr w:rsidR="00E0344B" w:rsidRPr="00E0344B" w14:paraId="06730BCD" w14:textId="77777777" w:rsidTr="005C2288">
        <w:trPr>
          <w:trHeight w:val="2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CA" w14:textId="77777777" w:rsidR="00E0344B" w:rsidRPr="00E0344B" w:rsidRDefault="00E0344B" w:rsidP="00960A95">
            <w:pPr>
              <w:keepNext/>
              <w:keepLines/>
            </w:pPr>
            <w:r>
              <w:t xml:space="preserve"> </w:t>
            </w:r>
            <w:r w:rsidRPr="00E0344B">
              <w:t>Průjem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30BCB" w14:textId="77777777" w:rsidR="00E0344B" w:rsidRPr="00E0344B" w:rsidRDefault="0050079C" w:rsidP="00960A95">
            <w:pPr>
              <w:keepNext/>
              <w:keepLines/>
              <w:jc w:val="center"/>
            </w:pPr>
            <w:r>
              <w:t>V</w:t>
            </w:r>
            <w:r w:rsidR="00E0344B" w:rsidRPr="00E0344B">
              <w:t>elmi časté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CC" w14:textId="77777777" w:rsidR="00E0344B" w:rsidRPr="00E0344B" w:rsidRDefault="0050079C" w:rsidP="00960A95">
            <w:pPr>
              <w:keepNext/>
              <w:keepLines/>
              <w:jc w:val="center"/>
            </w:pPr>
            <w:r>
              <w:t>V</w:t>
            </w:r>
            <w:r w:rsidR="00E0344B" w:rsidRPr="00E0344B">
              <w:t>elmi časté</w:t>
            </w:r>
          </w:p>
        </w:tc>
      </w:tr>
      <w:tr w:rsidR="00A72DD9" w:rsidRPr="00E0344B" w14:paraId="06730BD1" w14:textId="77777777" w:rsidTr="005C2288">
        <w:trPr>
          <w:trHeight w:val="2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CE" w14:textId="77777777" w:rsidR="00A72DD9" w:rsidRDefault="00A72DD9" w:rsidP="00960A95">
            <w:pPr>
              <w:keepNext/>
              <w:keepLines/>
            </w:pPr>
            <w:r>
              <w:t xml:space="preserve"> </w:t>
            </w:r>
            <w:r w:rsidR="00147393">
              <w:t>Nauzea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30BCF" w14:textId="5341FA75" w:rsidR="00A72DD9" w:rsidRDefault="00A72DD9" w:rsidP="003C72FE">
            <w:pPr>
              <w:keepNext/>
              <w:keepLines/>
              <w:jc w:val="center"/>
            </w:pPr>
            <w:r>
              <w:t>Ne</w:t>
            </w:r>
            <w:r w:rsidR="0045579D">
              <w:t>uplatňuje</w:t>
            </w:r>
            <w:r>
              <w:t xml:space="preserve"> se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D0" w14:textId="77777777" w:rsidR="00A72DD9" w:rsidRDefault="00A72DD9" w:rsidP="00960A95">
            <w:pPr>
              <w:keepNext/>
              <w:keepLines/>
              <w:jc w:val="center"/>
            </w:pPr>
            <w:r>
              <w:t>Časté</w:t>
            </w:r>
          </w:p>
        </w:tc>
      </w:tr>
      <w:tr w:rsidR="00A72DD9" w:rsidRPr="00E0344B" w14:paraId="06730BD5" w14:textId="77777777" w:rsidTr="005C2288">
        <w:trPr>
          <w:trHeight w:val="2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D2" w14:textId="12EF1B8E" w:rsidR="00A72DD9" w:rsidRDefault="00424929" w:rsidP="003C72FE">
            <w:pPr>
              <w:keepNext/>
              <w:keepLines/>
            </w:pPr>
            <w:r>
              <w:t xml:space="preserve"> </w:t>
            </w:r>
            <w:r w:rsidR="007B71A4">
              <w:t>Vřídky v ústech</w:t>
            </w:r>
            <w:r w:rsidRPr="00424929">
              <w:t xml:space="preserve"> a aft</w:t>
            </w:r>
            <w:r w:rsidR="007B71A4">
              <w:t>ózní vřídky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30BD3" w14:textId="77777777" w:rsidR="00A72DD9" w:rsidRDefault="00424929" w:rsidP="00960A95">
            <w:pPr>
              <w:keepNext/>
              <w:keepLines/>
              <w:jc w:val="center"/>
            </w:pPr>
            <w:r>
              <w:t>Časté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D4" w14:textId="77777777" w:rsidR="00A72DD9" w:rsidRDefault="00424929" w:rsidP="00960A95">
            <w:pPr>
              <w:keepNext/>
              <w:keepLines/>
              <w:jc w:val="center"/>
            </w:pPr>
            <w:r>
              <w:t>Časté</w:t>
            </w:r>
          </w:p>
        </w:tc>
      </w:tr>
      <w:tr w:rsidR="00E0344B" w:rsidRPr="00E0344B" w14:paraId="06730BD7" w14:textId="77777777" w:rsidTr="005C2288">
        <w:trPr>
          <w:trHeight w:val="20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0BD6" w14:textId="77777777" w:rsidR="00E0344B" w:rsidRPr="00E0344B" w:rsidRDefault="00E0344B" w:rsidP="00960A95">
            <w:pPr>
              <w:keepNext/>
              <w:keepLines/>
              <w:rPr>
                <w:b/>
              </w:rPr>
            </w:pPr>
            <w:r w:rsidRPr="00E0344B">
              <w:rPr>
                <w:b/>
              </w:rPr>
              <w:t>Poruchy kůže a podkožní tkáně</w:t>
            </w:r>
          </w:p>
        </w:tc>
      </w:tr>
      <w:tr w:rsidR="00E0344B" w:rsidRPr="00E0344B" w14:paraId="06730BDB" w14:textId="77777777" w:rsidTr="005C2288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D8" w14:textId="77777777" w:rsidR="00E0344B" w:rsidRPr="00E0344B" w:rsidRDefault="00E0344B" w:rsidP="00960A95">
            <w:pPr>
              <w:keepNext/>
              <w:keepLines/>
            </w:pPr>
            <w:r>
              <w:t xml:space="preserve"> </w:t>
            </w:r>
            <w:r w:rsidRPr="00E0344B">
              <w:t>Vyrážka*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30BD9" w14:textId="77777777" w:rsidR="00E0344B" w:rsidRPr="00E0344B" w:rsidRDefault="0050079C" w:rsidP="00960A95">
            <w:pPr>
              <w:keepNext/>
              <w:keepLines/>
              <w:jc w:val="center"/>
            </w:pPr>
            <w:r>
              <w:t>V</w:t>
            </w:r>
            <w:r w:rsidR="00E0344B" w:rsidRPr="00E0344B">
              <w:t>elmi časté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DA" w14:textId="77777777" w:rsidR="00E0344B" w:rsidRPr="00E0344B" w:rsidRDefault="0050079C" w:rsidP="00960A95">
            <w:pPr>
              <w:keepNext/>
              <w:keepLines/>
              <w:jc w:val="center"/>
            </w:pPr>
            <w:r>
              <w:t>V</w:t>
            </w:r>
            <w:r w:rsidR="00E0344B" w:rsidRPr="00E0344B">
              <w:t>elmi časté</w:t>
            </w:r>
          </w:p>
        </w:tc>
      </w:tr>
      <w:tr w:rsidR="00424929" w:rsidRPr="00E0344B" w14:paraId="06730BDD" w14:textId="77777777" w:rsidTr="00700E80">
        <w:trPr>
          <w:trHeight w:val="20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0BDC" w14:textId="77777777" w:rsidR="00424929" w:rsidRPr="00E0344B" w:rsidRDefault="00424929" w:rsidP="00960A95">
            <w:pPr>
              <w:keepNext/>
              <w:keepLines/>
              <w:rPr>
                <w:b/>
              </w:rPr>
            </w:pPr>
            <w:r w:rsidRPr="00E0344B">
              <w:rPr>
                <w:b/>
              </w:rPr>
              <w:t xml:space="preserve">Poruchy </w:t>
            </w:r>
            <w:r>
              <w:rPr>
                <w:b/>
              </w:rPr>
              <w:t>nervového systému</w:t>
            </w:r>
          </w:p>
        </w:tc>
      </w:tr>
      <w:tr w:rsidR="00C51C1C" w:rsidRPr="00E0344B" w14:paraId="06730BE1" w14:textId="77777777" w:rsidTr="00700E80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DE" w14:textId="77777777" w:rsidR="00C51C1C" w:rsidRPr="00E0344B" w:rsidRDefault="00C51C1C" w:rsidP="00960A95">
            <w:pPr>
              <w:keepNext/>
              <w:keepLines/>
            </w:pPr>
            <w:r>
              <w:t xml:space="preserve"> Bolest hlavy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30BDF" w14:textId="7A00E170" w:rsidR="00C51C1C" w:rsidRPr="00E0344B" w:rsidRDefault="00C51C1C" w:rsidP="003C72FE">
            <w:pPr>
              <w:keepNext/>
              <w:keepLines/>
              <w:jc w:val="center"/>
            </w:pPr>
            <w:r>
              <w:t>Ne</w:t>
            </w:r>
            <w:r w:rsidR="001B5F8C">
              <w:t>uplatňuje</w:t>
            </w:r>
            <w:r>
              <w:t xml:space="preserve"> se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E0" w14:textId="77777777" w:rsidR="00C51C1C" w:rsidRPr="00E0344B" w:rsidRDefault="00C51C1C" w:rsidP="00960A95">
            <w:pPr>
              <w:keepNext/>
              <w:keepLines/>
              <w:jc w:val="center"/>
            </w:pPr>
            <w:r>
              <w:t>V</w:t>
            </w:r>
            <w:r w:rsidRPr="00E0344B">
              <w:t>elmi časté</w:t>
            </w:r>
          </w:p>
        </w:tc>
      </w:tr>
      <w:tr w:rsidR="00424929" w:rsidRPr="00E0344B" w14:paraId="06730BE3" w14:textId="77777777" w:rsidTr="00700E80">
        <w:trPr>
          <w:trHeight w:val="20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0BE2" w14:textId="77777777" w:rsidR="00424929" w:rsidRPr="00E0344B" w:rsidRDefault="00C51C1C" w:rsidP="00700E80">
            <w:pPr>
              <w:rPr>
                <w:b/>
              </w:rPr>
            </w:pPr>
            <w:r w:rsidRPr="00C51C1C">
              <w:rPr>
                <w:b/>
              </w:rPr>
              <w:t>Celkové poruchy a reakce v místě aplikace</w:t>
            </w:r>
          </w:p>
        </w:tc>
      </w:tr>
      <w:tr w:rsidR="00424929" w:rsidRPr="00E0344B" w14:paraId="06730BE7" w14:textId="77777777" w:rsidTr="00700E80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E4" w14:textId="77777777" w:rsidR="00424929" w:rsidRPr="00E0344B" w:rsidRDefault="00424929">
            <w:r>
              <w:t xml:space="preserve"> </w:t>
            </w:r>
            <w:r w:rsidR="00AA3D96">
              <w:t>Pyrexie</w:t>
            </w:r>
            <w:r w:rsidR="00C51C1C">
              <w:t xml:space="preserve"> (včetně hyperpyrexie)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30BE5" w14:textId="77777777" w:rsidR="00424929" w:rsidRPr="00E0344B" w:rsidRDefault="00424929" w:rsidP="00700E80">
            <w:pPr>
              <w:jc w:val="center"/>
            </w:pPr>
            <w:r>
              <w:t>V</w:t>
            </w:r>
            <w:r w:rsidRPr="00E0344B">
              <w:t>elmi časté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E6" w14:textId="77777777" w:rsidR="00424929" w:rsidRPr="00E0344B" w:rsidRDefault="00424929" w:rsidP="00700E80">
            <w:pPr>
              <w:jc w:val="center"/>
            </w:pPr>
            <w:r>
              <w:t>V</w:t>
            </w:r>
            <w:r w:rsidRPr="00E0344B">
              <w:t>elmi časté</w:t>
            </w:r>
          </w:p>
        </w:tc>
      </w:tr>
      <w:tr w:rsidR="00424929" w:rsidRPr="00E0344B" w14:paraId="06730BE9" w14:textId="77777777" w:rsidTr="00700E80">
        <w:trPr>
          <w:trHeight w:val="20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0BE8" w14:textId="77777777" w:rsidR="00424929" w:rsidRPr="00E0344B" w:rsidRDefault="006B6FDB" w:rsidP="00700E80">
            <w:pPr>
              <w:rPr>
                <w:b/>
              </w:rPr>
            </w:pPr>
            <w:r w:rsidRPr="006B6FDB">
              <w:rPr>
                <w:b/>
              </w:rPr>
              <w:t>Infekce a infestace</w:t>
            </w:r>
          </w:p>
        </w:tc>
      </w:tr>
      <w:tr w:rsidR="00424929" w:rsidRPr="00E0344B" w14:paraId="06730BED" w14:textId="77777777" w:rsidTr="00242278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EA" w14:textId="77777777" w:rsidR="00424929" w:rsidRPr="00E0344B" w:rsidRDefault="00424929">
            <w:r>
              <w:t xml:space="preserve"> </w:t>
            </w:r>
            <w:r w:rsidR="006B6FDB" w:rsidRPr="006B6FDB">
              <w:t>Infekce močov</w:t>
            </w:r>
            <w:r w:rsidR="00D43F57">
              <w:t>ých</w:t>
            </w:r>
            <w:r w:rsidR="006B6FDB" w:rsidRPr="006B6FDB">
              <w:t xml:space="preserve"> </w:t>
            </w:r>
            <w:r w:rsidR="00D43F57">
              <w:t>cest</w:t>
            </w:r>
            <w:r w:rsidR="006B6FDB" w:rsidRPr="006B6FDB">
              <w:t xml:space="preserve"> </w:t>
            </w:r>
            <w:r w:rsidR="006B6FDB">
              <w:br/>
              <w:t xml:space="preserve"> </w:t>
            </w:r>
            <w:r w:rsidR="006B6FDB" w:rsidRPr="006B6FDB">
              <w:t>(včetně cystitidy)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30BEB" w14:textId="77777777" w:rsidR="00424929" w:rsidRPr="00E0344B" w:rsidRDefault="006B6FDB" w:rsidP="00700E80">
            <w:pPr>
              <w:jc w:val="center"/>
            </w:pPr>
            <w:r>
              <w:t>Č</w:t>
            </w:r>
            <w:r w:rsidR="00424929" w:rsidRPr="00E0344B">
              <w:t>asté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730BEC" w14:textId="77777777" w:rsidR="00424929" w:rsidRPr="00E0344B" w:rsidRDefault="006B6FDB" w:rsidP="00700E80">
            <w:pPr>
              <w:jc w:val="center"/>
            </w:pPr>
            <w:r>
              <w:t>Č</w:t>
            </w:r>
            <w:r w:rsidR="00424929" w:rsidRPr="00E0344B">
              <w:t>asté</w:t>
            </w:r>
          </w:p>
        </w:tc>
      </w:tr>
      <w:tr w:rsidR="00424929" w:rsidRPr="00E0344B" w14:paraId="06730BEF" w14:textId="77777777" w:rsidTr="00242278">
        <w:trPr>
          <w:trHeight w:val="20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0BEE" w14:textId="77777777" w:rsidR="00424929" w:rsidRPr="00E0344B" w:rsidRDefault="006B6FDB" w:rsidP="00700E80">
            <w:pPr>
              <w:rPr>
                <w:b/>
              </w:rPr>
            </w:pPr>
            <w:r w:rsidRPr="006B6FDB">
              <w:rPr>
                <w:b/>
              </w:rPr>
              <w:t>Poruchy svalové a kosterní soustavy a pojivové tkáně</w:t>
            </w:r>
          </w:p>
        </w:tc>
      </w:tr>
      <w:tr w:rsidR="00424929" w:rsidRPr="00E0344B" w14:paraId="06730BF3" w14:textId="77777777" w:rsidTr="00242278">
        <w:trPr>
          <w:trHeight w:val="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730BF0" w14:textId="77777777" w:rsidR="00424929" w:rsidRPr="00E0344B" w:rsidRDefault="00424929">
            <w:r>
              <w:t xml:space="preserve"> </w:t>
            </w:r>
            <w:r w:rsidR="00DE0E6B">
              <w:t>Artralgie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730BF1" w14:textId="0ED57123" w:rsidR="00424929" w:rsidRPr="00E0344B" w:rsidRDefault="00C65F07" w:rsidP="003C72FE">
            <w:pPr>
              <w:jc w:val="center"/>
            </w:pPr>
            <w:r>
              <w:t>Ne</w:t>
            </w:r>
            <w:r w:rsidR="001B5F8C">
              <w:t>uplatňuje</w:t>
            </w:r>
            <w:r>
              <w:t xml:space="preserve"> se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730BF2" w14:textId="77777777" w:rsidR="00424929" w:rsidRPr="00E0344B" w:rsidRDefault="00C65F07" w:rsidP="00700E80">
            <w:pPr>
              <w:jc w:val="center"/>
            </w:pPr>
            <w:r>
              <w:t>Č</w:t>
            </w:r>
            <w:r w:rsidR="00424929" w:rsidRPr="00E0344B">
              <w:t>asté</w:t>
            </w:r>
          </w:p>
        </w:tc>
      </w:tr>
    </w:tbl>
    <w:p w14:paraId="06730BF4" w14:textId="26452CEB" w:rsidR="00E0344B" w:rsidRPr="00C32ED0" w:rsidRDefault="00E0344B" w:rsidP="00E0344B">
      <w:pPr>
        <w:rPr>
          <w:sz w:val="18"/>
          <w:szCs w:val="18"/>
        </w:rPr>
      </w:pPr>
      <w:r w:rsidRPr="00C32ED0">
        <w:rPr>
          <w:sz w:val="18"/>
          <w:szCs w:val="18"/>
        </w:rPr>
        <w:t>* Zahrnuje vyrážku, makulopapul</w:t>
      </w:r>
      <w:r w:rsidR="007D3B01">
        <w:rPr>
          <w:sz w:val="18"/>
          <w:szCs w:val="18"/>
        </w:rPr>
        <w:t>ózní</w:t>
      </w:r>
      <w:r w:rsidRPr="00C32ED0">
        <w:rPr>
          <w:sz w:val="18"/>
          <w:szCs w:val="18"/>
        </w:rPr>
        <w:t xml:space="preserve"> vyrážku, erytematózní vyrážku, erytém, dermatitidu, alergickou dermatitidu, papul</w:t>
      </w:r>
      <w:r w:rsidR="007D3B01">
        <w:rPr>
          <w:sz w:val="18"/>
          <w:szCs w:val="18"/>
        </w:rPr>
        <w:t>ózní</w:t>
      </w:r>
      <w:r w:rsidRPr="00C32ED0">
        <w:rPr>
          <w:sz w:val="18"/>
          <w:szCs w:val="18"/>
        </w:rPr>
        <w:t xml:space="preserve"> vyrážku, folikulitidu.</w:t>
      </w:r>
    </w:p>
    <w:p w14:paraId="06730BF5" w14:textId="77777777" w:rsidR="00AE1382" w:rsidRPr="00C32ED0" w:rsidRDefault="00AE1382">
      <w:pPr>
        <w:rPr>
          <w:sz w:val="18"/>
          <w:szCs w:val="18"/>
        </w:rPr>
      </w:pPr>
    </w:p>
    <w:p w14:paraId="06730BF6" w14:textId="77777777" w:rsidR="001263D0" w:rsidRDefault="00835E4A">
      <w:pPr>
        <w:rPr>
          <w:u w:val="single"/>
        </w:rPr>
      </w:pPr>
      <w:r>
        <w:rPr>
          <w:u w:val="single"/>
        </w:rPr>
        <w:t xml:space="preserve">Hlášení podezření </w:t>
      </w:r>
      <w:proofErr w:type="gramStart"/>
      <w:r>
        <w:rPr>
          <w:u w:val="single"/>
        </w:rPr>
        <w:t>na</w:t>
      </w:r>
      <w:proofErr w:type="gramEnd"/>
      <w:r>
        <w:rPr>
          <w:u w:val="single"/>
        </w:rPr>
        <w:t xml:space="preserve"> nežádoucí účinky</w:t>
      </w:r>
    </w:p>
    <w:p w14:paraId="06730BF7" w14:textId="77777777" w:rsidR="00C2268D" w:rsidRDefault="00C2268D">
      <w:pPr>
        <w:rPr>
          <w:u w:val="single"/>
        </w:rPr>
      </w:pPr>
    </w:p>
    <w:p w14:paraId="718FD388" w14:textId="77777777" w:rsidR="007E4D62" w:rsidRPr="008D23E4" w:rsidRDefault="00835E4A" w:rsidP="007E4D62">
      <w:pPr>
        <w:rPr>
          <w:noProof/>
        </w:rPr>
      </w:pPr>
      <w:r>
        <w:t xml:space="preserve">Hlášení podezření </w:t>
      </w:r>
      <w:proofErr w:type="gramStart"/>
      <w:r>
        <w:t>na</w:t>
      </w:r>
      <w:proofErr w:type="gramEnd"/>
      <w:r>
        <w:t xml:space="preserve"> nežádoucí účinky po registraci léčivého přípravku je důležité. Umožňuje to pokračovat ve sledování poměru přínosů a rizik léčivého přípravku. </w:t>
      </w:r>
      <w:r w:rsidR="007E4D62" w:rsidRPr="008D23E4">
        <w:rPr>
          <w:noProof/>
        </w:rPr>
        <w:t xml:space="preserve">Žádáme </w:t>
      </w:r>
      <w:r w:rsidR="007E4D62" w:rsidRPr="008D23E4">
        <w:t xml:space="preserve">zdravotnické pracovníky, aby hlásili podezření </w:t>
      </w:r>
      <w:proofErr w:type="gramStart"/>
      <w:r w:rsidR="007E4D62" w:rsidRPr="008D23E4">
        <w:t>na</w:t>
      </w:r>
      <w:proofErr w:type="gramEnd"/>
      <w:r w:rsidR="007E4D62" w:rsidRPr="008D23E4">
        <w:t xml:space="preserve"> nežádoucí účinky </w:t>
      </w:r>
      <w:r w:rsidR="007E4D62" w:rsidRPr="008D23E4">
        <w:rPr>
          <w:noProof/>
        </w:rPr>
        <w:t>přímo na adresu:</w:t>
      </w:r>
    </w:p>
    <w:p w14:paraId="35B30DA1" w14:textId="77777777" w:rsidR="007E4D62" w:rsidRPr="008D23E4" w:rsidRDefault="007E4D62" w:rsidP="007E4D62">
      <w:pPr>
        <w:rPr>
          <w:noProof/>
        </w:rPr>
      </w:pPr>
    </w:p>
    <w:p w14:paraId="311EB1D4" w14:textId="77777777" w:rsidR="007E4D62" w:rsidRPr="008D23E4" w:rsidRDefault="007E4D62" w:rsidP="007E4D62">
      <w:pPr>
        <w:rPr>
          <w:noProof/>
        </w:rPr>
      </w:pPr>
      <w:r w:rsidRPr="008D23E4">
        <w:rPr>
          <w:noProof/>
        </w:rPr>
        <w:t>Státní ústav pro kontrolu léčiv</w:t>
      </w:r>
    </w:p>
    <w:p w14:paraId="0198F1C7" w14:textId="77777777" w:rsidR="007E4D62" w:rsidRPr="008D23E4" w:rsidRDefault="007E4D62" w:rsidP="007E4D62">
      <w:pPr>
        <w:rPr>
          <w:noProof/>
        </w:rPr>
      </w:pPr>
      <w:r w:rsidRPr="008D23E4">
        <w:rPr>
          <w:noProof/>
        </w:rPr>
        <w:t>Šrobárova 48</w:t>
      </w:r>
    </w:p>
    <w:p w14:paraId="63801803" w14:textId="77777777" w:rsidR="007E4D62" w:rsidRPr="008D23E4" w:rsidRDefault="007E4D62" w:rsidP="007E4D62">
      <w:pPr>
        <w:rPr>
          <w:noProof/>
        </w:rPr>
      </w:pPr>
      <w:r w:rsidRPr="008D23E4">
        <w:rPr>
          <w:noProof/>
        </w:rPr>
        <w:t>100 41 Praha 10</w:t>
      </w:r>
    </w:p>
    <w:p w14:paraId="06730BF8" w14:textId="44261830" w:rsidR="001263D0" w:rsidRDefault="007E4D62" w:rsidP="007E4D62">
      <w:r w:rsidRPr="008D23E4">
        <w:rPr>
          <w:noProof/>
        </w:rPr>
        <w:t xml:space="preserve">Webové stránky: </w:t>
      </w:r>
      <w:hyperlink r:id="rId12" w:history="1">
        <w:r w:rsidRPr="008D23E4">
          <w:rPr>
            <w:rStyle w:val="Hypertextovodkaz"/>
          </w:rPr>
          <w:t>www.sukl.cz/nahlasit-nezadouci-ucinek</w:t>
        </w:r>
      </w:hyperlink>
    </w:p>
    <w:p w14:paraId="06730BF9" w14:textId="77777777" w:rsidR="001263D0" w:rsidRDefault="001263D0"/>
    <w:p w14:paraId="06730BFA" w14:textId="77777777" w:rsidR="001263D0" w:rsidRDefault="00835E4A">
      <w:pPr>
        <w:ind w:left="567" w:hanging="567"/>
        <w:rPr>
          <w:b/>
        </w:rPr>
      </w:pPr>
      <w:r>
        <w:rPr>
          <w:b/>
        </w:rPr>
        <w:t>4.9</w:t>
      </w:r>
      <w:r>
        <w:rPr>
          <w:b/>
        </w:rPr>
        <w:tab/>
        <w:t>Předávkování</w:t>
      </w:r>
    </w:p>
    <w:p w14:paraId="06730BFB" w14:textId="77777777" w:rsidR="001263D0" w:rsidRDefault="001263D0">
      <w:pPr>
        <w:ind w:left="567" w:hanging="567"/>
      </w:pPr>
    </w:p>
    <w:p w14:paraId="06730BFC" w14:textId="77777777" w:rsidR="001263D0" w:rsidRDefault="00835E4A">
      <w:r>
        <w:t>Pro případ předávkování přípravkem Evrysdi není k dispozici žádné známé antidotum. Pacient, u kterého dojde k předávkování, má být pečlivě sledován a má mu být poskytnuta podpůrná péče.</w:t>
      </w:r>
    </w:p>
    <w:p w14:paraId="06730BFD" w14:textId="77777777" w:rsidR="001263D0" w:rsidRDefault="001263D0"/>
    <w:p w14:paraId="06730BFE" w14:textId="77777777" w:rsidR="001263D0" w:rsidRDefault="001263D0"/>
    <w:p w14:paraId="06730BFF" w14:textId="77777777" w:rsidR="001263D0" w:rsidRDefault="00835E4A" w:rsidP="00960A95">
      <w:pPr>
        <w:ind w:left="567" w:hanging="567"/>
      </w:pPr>
      <w:r>
        <w:rPr>
          <w:b/>
        </w:rPr>
        <w:t>5.</w:t>
      </w:r>
      <w:r>
        <w:rPr>
          <w:b/>
        </w:rPr>
        <w:tab/>
        <w:t>FARMAKOLOGICKÉ VLASTNOSTI</w:t>
      </w:r>
    </w:p>
    <w:p w14:paraId="06730C00" w14:textId="77777777" w:rsidR="001263D0" w:rsidRDefault="001263D0"/>
    <w:p w14:paraId="06730C01" w14:textId="77777777" w:rsidR="001263D0" w:rsidRDefault="00835E4A">
      <w:pPr>
        <w:ind w:left="567" w:hanging="567"/>
      </w:pPr>
      <w:r>
        <w:rPr>
          <w:b/>
        </w:rPr>
        <w:t>5.1</w:t>
      </w:r>
      <w:r>
        <w:rPr>
          <w:b/>
        </w:rPr>
        <w:tab/>
        <w:t>Farmakodynamické vlastnosti</w:t>
      </w:r>
    </w:p>
    <w:p w14:paraId="06730C02" w14:textId="77777777" w:rsidR="001263D0" w:rsidRDefault="001263D0"/>
    <w:p w14:paraId="06730C03" w14:textId="77777777" w:rsidR="000D7268" w:rsidRDefault="00835E4A">
      <w:r>
        <w:t xml:space="preserve">Farmakoterapeutická skupina: Jiná léčiva pro poruchy muskuloskeletálního systému </w:t>
      </w:r>
    </w:p>
    <w:p w14:paraId="06730C04" w14:textId="77777777" w:rsidR="001263D0" w:rsidRDefault="00835E4A">
      <w:r>
        <w:t>ATC kód: M09AX10</w:t>
      </w:r>
    </w:p>
    <w:p w14:paraId="06730C05" w14:textId="77777777" w:rsidR="001263D0" w:rsidRDefault="001263D0"/>
    <w:p w14:paraId="06730C06" w14:textId="77777777" w:rsidR="001263D0" w:rsidRDefault="00835E4A">
      <w:r>
        <w:rPr>
          <w:u w:val="single"/>
        </w:rPr>
        <w:t>Mechanismus účinku</w:t>
      </w:r>
    </w:p>
    <w:p w14:paraId="06730C07" w14:textId="77777777" w:rsidR="001263D0" w:rsidRDefault="001263D0"/>
    <w:p w14:paraId="06730C08" w14:textId="02EFA2BE" w:rsidR="001263D0" w:rsidRDefault="00835E4A">
      <w:bookmarkStart w:id="2" w:name="_30j0zll" w:colFirst="0" w:colLast="0"/>
      <w:bookmarkEnd w:id="2"/>
      <w:r>
        <w:t xml:space="preserve">Risdiplam je modifikátor sestřihu pre-mRNA vzniklé přepisem genu </w:t>
      </w:r>
      <w:r w:rsidRPr="00C32ED0">
        <w:rPr>
          <w:i/>
        </w:rPr>
        <w:t>SMN2</w:t>
      </w:r>
      <w:r>
        <w:t xml:space="preserve"> (survival of motor neuron 2). Risdiplam je určen k léčbě SMA způsobené mutacemi </w:t>
      </w:r>
      <w:r w:rsidR="003C2EB4">
        <w:t xml:space="preserve">genu </w:t>
      </w:r>
      <w:r w:rsidR="003C2EB4" w:rsidRPr="00C32ED0">
        <w:rPr>
          <w:i/>
        </w:rPr>
        <w:t>SMN1</w:t>
      </w:r>
      <w:r w:rsidR="003C2EB4">
        <w:t xml:space="preserve"> </w:t>
      </w:r>
      <w:proofErr w:type="gramStart"/>
      <w:r w:rsidR="007D3B01">
        <w:t>na</w:t>
      </w:r>
      <w:proofErr w:type="gramEnd"/>
      <w:r w:rsidR="003C2EB4">
        <w:t xml:space="preserve"> </w:t>
      </w:r>
      <w:r w:rsidR="007D3B01">
        <w:t xml:space="preserve">dlouhém raménku </w:t>
      </w:r>
      <w:r>
        <w:t xml:space="preserve">chromozomu 5, které vedou k deficitu SMN proteinu. Deficit funkčního proteinu SMN </w:t>
      </w:r>
      <w:r w:rsidR="00DA5DC2" w:rsidRPr="00DA5DC2">
        <w:t xml:space="preserve">přímo souvisí s patofyziologií SMA, která zahrnuje progredující </w:t>
      </w:r>
      <w:r w:rsidR="00CD4ECE">
        <w:t>ztrátu</w:t>
      </w:r>
      <w:r w:rsidR="00CD4ECE" w:rsidRPr="00DA5DC2">
        <w:t xml:space="preserve"> </w:t>
      </w:r>
      <w:r w:rsidR="00DA5DC2" w:rsidRPr="00DA5DC2">
        <w:t>motoneuronů a svalovou slabost</w:t>
      </w:r>
      <w:r>
        <w:t xml:space="preserve">. Risdiplam </w:t>
      </w:r>
      <w:r w:rsidR="00A727F9">
        <w:t xml:space="preserve">upravuje </w:t>
      </w:r>
      <w:r>
        <w:t xml:space="preserve">sestřih pre-mRNA </w:t>
      </w:r>
      <w:r w:rsidR="007D3B01">
        <w:t>genu</w:t>
      </w:r>
      <w:r>
        <w:t xml:space="preserve"> </w:t>
      </w:r>
      <w:r w:rsidRPr="00C32ED0">
        <w:rPr>
          <w:i/>
        </w:rPr>
        <w:t>SMN2</w:t>
      </w:r>
      <w:r>
        <w:t xml:space="preserve"> tak, že posunuje rovnováhu </w:t>
      </w:r>
      <w:proofErr w:type="gramStart"/>
      <w:r>
        <w:t>od</w:t>
      </w:r>
      <w:proofErr w:type="gramEnd"/>
      <w:r>
        <w:t xml:space="preserve"> mRNA s vyloučeným exonem 7 ve prospěch mRNA zařazeným exonem 7. Tím se zvyšuje tvorba funkčního a stabilního proteinu SMN. Zvyšováním </w:t>
      </w:r>
      <w:proofErr w:type="gramStart"/>
      <w:r>
        <w:t>a</w:t>
      </w:r>
      <w:proofErr w:type="gramEnd"/>
      <w:r>
        <w:t xml:space="preserve"> udržováním hladin funkčního proteinu SMN risdiplam léčí SMA. </w:t>
      </w:r>
    </w:p>
    <w:p w14:paraId="06730C09" w14:textId="77777777" w:rsidR="001263D0" w:rsidRDefault="001263D0"/>
    <w:p w14:paraId="06730C0A" w14:textId="77777777" w:rsidR="001263D0" w:rsidRDefault="00835E4A">
      <w:pPr>
        <w:keepNext/>
        <w:keepLines/>
      </w:pPr>
      <w:r>
        <w:rPr>
          <w:u w:val="single"/>
        </w:rPr>
        <w:lastRenderedPageBreak/>
        <w:t>Farmakodynamické účinky</w:t>
      </w:r>
    </w:p>
    <w:p w14:paraId="06730C0B" w14:textId="77777777" w:rsidR="001263D0" w:rsidRDefault="001263D0">
      <w:pPr>
        <w:keepNext/>
        <w:keepLines/>
      </w:pPr>
    </w:p>
    <w:p w14:paraId="06730C0C" w14:textId="77777777" w:rsidR="001263D0" w:rsidRDefault="00835E4A">
      <w:r>
        <w:t>Risdiplam vedl v</w:t>
      </w:r>
      <w:r w:rsidR="002E7699">
        <w:t> </w:t>
      </w:r>
      <w:r>
        <w:t xml:space="preserve">klinických </w:t>
      </w:r>
      <w:r w:rsidR="00C65F07">
        <w:t xml:space="preserve">studiích </w:t>
      </w:r>
      <w:r>
        <w:t>k</w:t>
      </w:r>
      <w:r w:rsidR="002E7699">
        <w:t>e</w:t>
      </w:r>
      <w:r>
        <w:t xml:space="preserve"> zvýšení hladiny proteinu SMN </w:t>
      </w:r>
      <w:r w:rsidR="002E7699">
        <w:t xml:space="preserve">v krvi </w:t>
      </w:r>
      <w:r>
        <w:t xml:space="preserve">s více než 2násobným mediánem změny po 4 týdnech </w:t>
      </w:r>
      <w:proofErr w:type="gramStart"/>
      <w:r>
        <w:t>od</w:t>
      </w:r>
      <w:proofErr w:type="gramEnd"/>
      <w:r>
        <w:t xml:space="preserve"> zahájení léčby oproti výchozí hodnotě. Zvýšení trvalo během léčebného období </w:t>
      </w:r>
      <w:r w:rsidR="002E7699">
        <w:t xml:space="preserve">(nejméně 12 měsíců) </w:t>
      </w:r>
      <w:r>
        <w:t>u </w:t>
      </w:r>
      <w:r w:rsidR="00AB0D84">
        <w:t xml:space="preserve">všech typů </w:t>
      </w:r>
      <w:r>
        <w:t>SMA.</w:t>
      </w:r>
    </w:p>
    <w:p w14:paraId="06730C0D" w14:textId="77777777" w:rsidR="001263D0" w:rsidRDefault="001263D0"/>
    <w:p w14:paraId="06730C0E" w14:textId="77777777" w:rsidR="001263D0" w:rsidRDefault="00835E4A">
      <w:pPr>
        <w:rPr>
          <w:u w:val="single"/>
        </w:rPr>
      </w:pPr>
      <w:r>
        <w:rPr>
          <w:u w:val="single"/>
        </w:rPr>
        <w:t>Klinická účinnost a bezpečnost</w:t>
      </w:r>
    </w:p>
    <w:p w14:paraId="06730C0F" w14:textId="77777777" w:rsidR="001263D0" w:rsidRDefault="001263D0"/>
    <w:p w14:paraId="06730C10" w14:textId="29F8E9B9" w:rsidR="001263D0" w:rsidRDefault="00835E4A">
      <w:r>
        <w:t xml:space="preserve">Účinnost přípravku Evrysdi v léčbě pacientů s SMA s nástupem v dětství </w:t>
      </w:r>
      <w:r w:rsidR="001A0590">
        <w:t>(</w:t>
      </w:r>
      <w:r w:rsidR="001A0590" w:rsidRPr="009A256C">
        <w:rPr>
          <w:color w:val="000000"/>
        </w:rPr>
        <w:t>SMA 1. typu</w:t>
      </w:r>
      <w:r w:rsidR="001A0590">
        <w:t xml:space="preserve">) </w:t>
      </w:r>
      <w:r>
        <w:t>i u pacientů s SMA s pozdějším nástupem</w:t>
      </w:r>
      <w:r w:rsidR="001A0590">
        <w:t xml:space="preserve"> (</w:t>
      </w:r>
      <w:r w:rsidR="001A0590" w:rsidRPr="009A256C">
        <w:rPr>
          <w:color w:val="000000"/>
        </w:rPr>
        <w:t xml:space="preserve">SMA </w:t>
      </w:r>
      <w:r w:rsidR="001A0590">
        <w:rPr>
          <w:color w:val="000000"/>
        </w:rPr>
        <w:t>2</w:t>
      </w:r>
      <w:r w:rsidR="001A0590" w:rsidRPr="009A256C">
        <w:rPr>
          <w:color w:val="000000"/>
        </w:rPr>
        <w:t>. </w:t>
      </w:r>
      <w:r w:rsidR="001A0590">
        <w:rPr>
          <w:color w:val="000000"/>
        </w:rPr>
        <w:t xml:space="preserve">a 3. </w:t>
      </w:r>
      <w:r w:rsidR="001A0590" w:rsidRPr="009A256C">
        <w:rPr>
          <w:color w:val="000000"/>
        </w:rPr>
        <w:t>typu</w:t>
      </w:r>
      <w:r w:rsidR="001A0590">
        <w:rPr>
          <w:color w:val="000000"/>
        </w:rPr>
        <w:t>)</w:t>
      </w:r>
      <w:r>
        <w:t xml:space="preserve"> byla hodnocena ve 2 pivotních klinických studiích, FIREFISH a SUNFISH.</w:t>
      </w:r>
      <w:r w:rsidR="00082E59">
        <w:t xml:space="preserve"> Pacienti s klinickou diagnózou </w:t>
      </w:r>
      <w:r w:rsidR="00082E59" w:rsidRPr="009A256C">
        <w:rPr>
          <w:color w:val="000000"/>
        </w:rPr>
        <w:t xml:space="preserve">SMA </w:t>
      </w:r>
      <w:r w:rsidR="00082E59">
        <w:rPr>
          <w:color w:val="000000"/>
        </w:rPr>
        <w:t>4</w:t>
      </w:r>
      <w:r w:rsidR="00082E59" w:rsidRPr="009A256C">
        <w:rPr>
          <w:color w:val="000000"/>
        </w:rPr>
        <w:t>. </w:t>
      </w:r>
      <w:proofErr w:type="gramStart"/>
      <w:r w:rsidR="00082E59" w:rsidRPr="009A256C">
        <w:rPr>
          <w:color w:val="000000"/>
        </w:rPr>
        <w:t>typu</w:t>
      </w:r>
      <w:proofErr w:type="gramEnd"/>
      <w:r w:rsidR="00082E59">
        <w:rPr>
          <w:color w:val="000000"/>
        </w:rPr>
        <w:t xml:space="preserve"> nebyli v klinických studiích studováni.</w:t>
      </w:r>
    </w:p>
    <w:p w14:paraId="06730C11" w14:textId="77777777" w:rsidR="001263D0" w:rsidRDefault="001263D0"/>
    <w:p w14:paraId="06730C12" w14:textId="77777777" w:rsidR="001263D0" w:rsidRDefault="00835E4A">
      <w:pPr>
        <w:rPr>
          <w:i/>
        </w:rPr>
      </w:pPr>
      <w:r>
        <w:rPr>
          <w:i/>
        </w:rPr>
        <w:t>SMA s nástupem v dětství</w:t>
      </w:r>
    </w:p>
    <w:p w14:paraId="06730C13" w14:textId="77777777" w:rsidR="001263D0" w:rsidRDefault="001263D0">
      <w:pPr>
        <w:rPr>
          <w:b/>
        </w:rPr>
      </w:pPr>
    </w:p>
    <w:p w14:paraId="06730C14" w14:textId="77777777" w:rsidR="001263D0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Studie BP39056 (FIREFISH) </w:t>
      </w:r>
      <w:r w:rsidR="00F466AF">
        <w:rPr>
          <w:color w:val="000000"/>
        </w:rPr>
        <w:t xml:space="preserve">je </w:t>
      </w:r>
      <w:r>
        <w:rPr>
          <w:color w:val="000000"/>
        </w:rPr>
        <w:t>otevřená studie se 2 částmi k hodnocení účinnosti, bezpečnosti, farmakokinetiky a farmakodynamiky přípravku Evrysdi v léčbě symptomatické SMA 1. </w:t>
      </w:r>
      <w:proofErr w:type="gramStart"/>
      <w:r>
        <w:rPr>
          <w:color w:val="000000"/>
        </w:rPr>
        <w:t>typu</w:t>
      </w:r>
      <w:proofErr w:type="gramEnd"/>
      <w:r>
        <w:rPr>
          <w:color w:val="000000"/>
        </w:rPr>
        <w:t xml:space="preserve"> (všichni pacienti měli genetický průkaz onemocnění se 2 kopiemi genu </w:t>
      </w:r>
      <w:r w:rsidRPr="00C32ED0">
        <w:rPr>
          <w:i/>
          <w:color w:val="000000"/>
        </w:rPr>
        <w:t>SMN2</w:t>
      </w:r>
      <w:r>
        <w:rPr>
          <w:color w:val="000000"/>
        </w:rPr>
        <w:t>). Část 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studie FIREFISH byla určena ke stanovení dávky. V konfirmační části 2 studie FIREFISH se hodnotila účinnost</w:t>
      </w:r>
      <w:r w:rsidR="00FE1189">
        <w:rPr>
          <w:color w:val="000000"/>
        </w:rPr>
        <w:t xml:space="preserve"> </w:t>
      </w:r>
      <w:r w:rsidR="00AB0D84">
        <w:rPr>
          <w:color w:val="000000"/>
        </w:rPr>
        <w:t>přípravku Evrysdi</w:t>
      </w:r>
      <w:r>
        <w:rPr>
          <w:color w:val="000000"/>
        </w:rPr>
        <w:t>. Pacienti z části 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se neúčastnili části 2.</w:t>
      </w:r>
    </w:p>
    <w:p w14:paraId="06730C15" w14:textId="77777777" w:rsidR="001263D0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16" w14:textId="77777777" w:rsidR="001263D0" w:rsidRDefault="00835E4A">
      <w:r>
        <w:t>Hlavním cílovým parametrem účinnosti byla schopnost sedu bez pomoci po dobu nejméně 5 sekund měřená pomocí položky 22 motorické</w:t>
      </w:r>
      <w:r w:rsidR="00623DE7">
        <w:t xml:space="preserve"> vývojové</w:t>
      </w:r>
      <w:r>
        <w:t xml:space="preserve"> škály </w:t>
      </w:r>
      <w:r w:rsidR="00623DE7">
        <w:t>dle</w:t>
      </w:r>
      <w:r>
        <w:t xml:space="preserve"> Bayleyové, Bayley Scales of Infant and Toddler Development – Third Edition (BSID-III), po 12 měsících léčby.  </w:t>
      </w:r>
    </w:p>
    <w:p w14:paraId="06730C17" w14:textId="77777777" w:rsidR="001263D0" w:rsidRDefault="001263D0">
      <w:pPr>
        <w:rPr>
          <w:i/>
        </w:rPr>
      </w:pPr>
    </w:p>
    <w:p w14:paraId="06730C18" w14:textId="77777777" w:rsidR="001263D0" w:rsidRDefault="00835E4A">
      <w:pPr>
        <w:rPr>
          <w:i/>
          <w:u w:val="single"/>
        </w:rPr>
      </w:pPr>
      <w:r>
        <w:rPr>
          <w:i/>
          <w:u w:val="single"/>
        </w:rPr>
        <w:t>Studie FIREFISH část 2</w:t>
      </w:r>
    </w:p>
    <w:p w14:paraId="06730C19" w14:textId="77777777" w:rsidR="001263D0" w:rsidRDefault="001263D0">
      <w:pPr>
        <w:rPr>
          <w:i/>
        </w:rPr>
      </w:pPr>
    </w:p>
    <w:p w14:paraId="06730C1A" w14:textId="3747E809" w:rsidR="001263D0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 části 2 studie FIREFISH bylo zařazeno 41 pacientů s SMA 1. </w:t>
      </w:r>
      <w:proofErr w:type="gramStart"/>
      <w:r>
        <w:rPr>
          <w:color w:val="000000"/>
        </w:rPr>
        <w:t>typu</w:t>
      </w:r>
      <w:proofErr w:type="gramEnd"/>
      <w:r>
        <w:rPr>
          <w:color w:val="000000"/>
        </w:rPr>
        <w:t>. Medián věku při nástupu klinických projevů a příznaků SMA 1. </w:t>
      </w:r>
      <w:proofErr w:type="gramStart"/>
      <w:r>
        <w:rPr>
          <w:color w:val="000000"/>
        </w:rPr>
        <w:t>typu</w:t>
      </w:r>
      <w:proofErr w:type="gramEnd"/>
      <w:r>
        <w:rPr>
          <w:color w:val="000000"/>
        </w:rPr>
        <w:t xml:space="preserve"> byl 1,5 měsíce (rozmezí: 1,0 – 3,0 měsíce), 54 % byly dívky, 54 % byli běloši a 34 % byli Asiaté. Medián věku při zařazení byl 5,3 měsíce (rozmezí: 2,2 – 6,9 měsíce) a medián doby od nástupu příznaků do první dávky byl 3,4 měsíce (rozmezí: 1,0 – 6,0 měsíc</w:t>
      </w:r>
      <w:r w:rsidR="007D3B01">
        <w:rPr>
          <w:color w:val="000000"/>
        </w:rPr>
        <w:t>ů</w:t>
      </w:r>
      <w:r>
        <w:rPr>
          <w:color w:val="000000"/>
        </w:rPr>
        <w:t xml:space="preserve">). Medián výchozího skóre </w:t>
      </w:r>
      <w:r w:rsidR="007831B0">
        <w:rPr>
          <w:color w:val="000000"/>
        </w:rPr>
        <w:t xml:space="preserve">testu </w:t>
      </w:r>
      <w:r w:rsidR="007831B0" w:rsidRPr="00C32ED0">
        <w:rPr>
          <w:bCs/>
          <w:iCs/>
          <w:color w:val="000000"/>
        </w:rPr>
        <w:t>Children’s Hospital of Philadelphia Infant Test for Neuromuscular Disease (</w:t>
      </w:r>
      <w:r>
        <w:rPr>
          <w:color w:val="000000"/>
        </w:rPr>
        <w:t>CHOP-INTEND</w:t>
      </w:r>
      <w:r w:rsidR="007831B0">
        <w:rPr>
          <w:color w:val="000000"/>
        </w:rPr>
        <w:t>)</w:t>
      </w:r>
      <w:r>
        <w:rPr>
          <w:color w:val="000000"/>
        </w:rPr>
        <w:t xml:space="preserve"> byl 22</w:t>
      </w:r>
      <w:proofErr w:type="gramStart"/>
      <w:r>
        <w:rPr>
          <w:color w:val="000000"/>
        </w:rPr>
        <w:t>,0</w:t>
      </w:r>
      <w:proofErr w:type="gramEnd"/>
      <w:r>
        <w:rPr>
          <w:color w:val="000000"/>
        </w:rPr>
        <w:t xml:space="preserve"> bodů (rozmezí: 8,0 – 37,0) a medián výchozího skóre </w:t>
      </w:r>
      <w:r w:rsidR="007831B0">
        <w:rPr>
          <w:color w:val="000000"/>
        </w:rPr>
        <w:t xml:space="preserve">testu </w:t>
      </w:r>
      <w:r w:rsidR="007831B0" w:rsidRPr="00C32ED0">
        <w:rPr>
          <w:bCs/>
          <w:iCs/>
          <w:color w:val="000000"/>
        </w:rPr>
        <w:t>Hammersmith Infant Neurological Examination Module 2 (</w:t>
      </w:r>
      <w:r>
        <w:rPr>
          <w:color w:val="000000"/>
        </w:rPr>
        <w:t>HINE-2</w:t>
      </w:r>
      <w:r w:rsidR="007831B0">
        <w:rPr>
          <w:color w:val="000000"/>
        </w:rPr>
        <w:t>)</w:t>
      </w:r>
      <w:r>
        <w:rPr>
          <w:color w:val="000000"/>
        </w:rPr>
        <w:t xml:space="preserve"> byl 1,0 (rozmezí: 0,0 – 5,0). </w:t>
      </w:r>
    </w:p>
    <w:p w14:paraId="06730C1B" w14:textId="77777777" w:rsidR="001263D0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1C" w14:textId="77777777" w:rsidR="001263D0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Primárním cílovým parametrem byl </w:t>
      </w:r>
      <w:r w:rsidR="0052486A">
        <w:rPr>
          <w:color w:val="000000"/>
        </w:rPr>
        <w:t xml:space="preserve">podíl </w:t>
      </w:r>
      <w:r>
        <w:rPr>
          <w:color w:val="000000"/>
        </w:rPr>
        <w:t xml:space="preserve">pacientů schopných sedu bez pomoci po dobu nejméně 5 sekund po 12 měsících léčby (položka 22 motorické škály z BSID-III). </w:t>
      </w:r>
      <w:r w:rsidR="00C65F07">
        <w:rPr>
          <w:color w:val="000000"/>
        </w:rPr>
        <w:t xml:space="preserve">Hlavní cílové </w:t>
      </w:r>
      <w:r>
        <w:rPr>
          <w:color w:val="000000"/>
        </w:rPr>
        <w:t>parametry účinnosti pro pacienty léčené přípravkem Evrysdi uvádí tabulka </w:t>
      </w:r>
      <w:r w:rsidR="00C83CB3">
        <w:rPr>
          <w:color w:val="000000"/>
        </w:rPr>
        <w:t>3</w:t>
      </w:r>
      <w:r>
        <w:rPr>
          <w:color w:val="000000"/>
        </w:rPr>
        <w:t>.</w:t>
      </w:r>
    </w:p>
    <w:p w14:paraId="06730C1D" w14:textId="77777777" w:rsidR="001263D0" w:rsidRDefault="001263D0"/>
    <w:p w14:paraId="06730C1E" w14:textId="77777777" w:rsidR="001263D0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Tabulka </w:t>
      </w:r>
      <w:r w:rsidR="00A64976">
        <w:rPr>
          <w:b/>
          <w:color w:val="000000"/>
        </w:rPr>
        <w:t>3</w:t>
      </w:r>
      <w:r>
        <w:rPr>
          <w:b/>
          <w:color w:val="000000"/>
        </w:rPr>
        <w:t>. Souhrn hlavních výsledků účinnosti po 12 měsících (studie FIREFISH část 2)</w:t>
      </w:r>
    </w:p>
    <w:p w14:paraId="06730C1F" w14:textId="77777777" w:rsidR="00026C43" w:rsidRDefault="00026C43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3"/>
        <w:tblW w:w="9123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8"/>
        <w:gridCol w:w="2835"/>
      </w:tblGrid>
      <w:tr w:rsidR="001263D0" w14:paraId="06730C23" w14:textId="77777777">
        <w:trPr>
          <w:trHeight w:val="20"/>
        </w:trPr>
        <w:tc>
          <w:tcPr>
            <w:tcW w:w="6288" w:type="dxa"/>
            <w:shd w:val="clear" w:color="auto" w:fill="auto"/>
            <w:vAlign w:val="center"/>
          </w:tcPr>
          <w:p w14:paraId="06730C20" w14:textId="77777777" w:rsidR="001263D0" w:rsidRDefault="00835E4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Cílové parametry účinnosti</w:t>
            </w:r>
          </w:p>
        </w:tc>
        <w:tc>
          <w:tcPr>
            <w:tcW w:w="2835" w:type="dxa"/>
            <w:vAlign w:val="center"/>
          </w:tcPr>
          <w:p w14:paraId="06730C21" w14:textId="77777777" w:rsidR="001263D0" w:rsidRDefault="002306C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Podíl </w:t>
            </w:r>
            <w:r w:rsidR="00835E4A">
              <w:rPr>
                <w:b/>
                <w:color w:val="000000"/>
              </w:rPr>
              <w:t>pacientů</w:t>
            </w:r>
          </w:p>
          <w:p w14:paraId="06730C22" w14:textId="77777777" w:rsidR="001263D0" w:rsidRDefault="00835E4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 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</w:rPr>
              <w:t>=</w:t>
            </w:r>
            <w:r>
              <w:rPr>
                <w:b/>
                <w:color w:val="000000"/>
              </w:rPr>
              <w:t> 41 (90% CI)</w:t>
            </w:r>
          </w:p>
        </w:tc>
      </w:tr>
      <w:tr w:rsidR="001263D0" w:rsidRPr="009E71E0" w14:paraId="06730C25" w14:textId="77777777" w:rsidTr="00B13338">
        <w:trPr>
          <w:trHeight w:val="434"/>
        </w:trPr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30C24" w14:textId="77777777" w:rsidR="001263D0" w:rsidRPr="00344835" w:rsidRDefault="00835E4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b/>
                <w:color w:val="000000"/>
                <w:lang w:val="pt-BR"/>
              </w:rPr>
            </w:pPr>
            <w:r w:rsidRPr="00344835">
              <w:rPr>
                <w:color w:val="000000"/>
                <w:u w:val="single"/>
                <w:lang w:val="pt-BR"/>
              </w:rPr>
              <w:t>Motorické funkce a vývojové milníky</w:t>
            </w:r>
          </w:p>
        </w:tc>
      </w:tr>
      <w:tr w:rsidR="001263D0" w14:paraId="06730C29" w14:textId="77777777">
        <w:trPr>
          <w:trHeight w:val="20"/>
        </w:trPr>
        <w:tc>
          <w:tcPr>
            <w:tcW w:w="628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26" w14:textId="77777777" w:rsidR="001263D0" w:rsidRPr="00344835" w:rsidRDefault="00835E4A" w:rsidP="00C32E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  <w:lang w:val="pt-BR"/>
              </w:rPr>
            </w:pPr>
            <w:r w:rsidRPr="00344835">
              <w:rPr>
                <w:color w:val="000000"/>
                <w:lang w:val="pt-BR"/>
              </w:rPr>
              <w:t xml:space="preserve">BSID-III: sed bez pomoci po dobu nejméně 5 sekund </w:t>
            </w:r>
          </w:p>
        </w:tc>
        <w:tc>
          <w:tcPr>
            <w:tcW w:w="2835" w:type="dxa"/>
            <w:vAlign w:val="center"/>
          </w:tcPr>
          <w:p w14:paraId="06730C27" w14:textId="77777777" w:rsidR="001263D0" w:rsidRDefault="00835E4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proofErr w:type="gramStart"/>
            <w:r>
              <w:rPr>
                <w:color w:val="000000"/>
              </w:rPr>
              <w:t>,3</w:t>
            </w:r>
            <w:proofErr w:type="gramEnd"/>
            <w:r>
              <w:rPr>
                <w:color w:val="000000"/>
              </w:rPr>
              <w:t> % (17,8 %; 43,1 %)</w:t>
            </w:r>
          </w:p>
          <w:p w14:paraId="06730C28" w14:textId="77777777" w:rsidR="001263D0" w:rsidRDefault="00026C4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 </w:t>
            </w:r>
            <w:r w:rsidR="00835E4A">
              <w:rPr>
                <w:color w:val="000000"/>
              </w:rPr>
              <w:t>&lt; 0,0001</w:t>
            </w:r>
            <w:r w:rsidR="00C546B4" w:rsidRPr="00242278">
              <w:rPr>
                <w:color w:val="000000"/>
                <w:vertAlign w:val="superscript"/>
              </w:rPr>
              <w:t>a</w:t>
            </w:r>
          </w:p>
        </w:tc>
      </w:tr>
      <w:tr w:rsidR="001263D0" w14:paraId="06730C2C" w14:textId="77777777">
        <w:trPr>
          <w:trHeight w:val="20"/>
        </w:trPr>
        <w:tc>
          <w:tcPr>
            <w:tcW w:w="628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2A" w14:textId="77777777" w:rsidR="001263D0" w:rsidRDefault="00835E4A" w:rsidP="00C32E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</w:rPr>
            </w:pPr>
            <w:r>
              <w:rPr>
                <w:color w:val="000000"/>
              </w:rPr>
              <w:t xml:space="preserve">Skóre CHOP-INTEND: nejméně 40 bodů </w:t>
            </w:r>
          </w:p>
        </w:tc>
        <w:tc>
          <w:tcPr>
            <w:tcW w:w="2835" w:type="dxa"/>
            <w:vAlign w:val="center"/>
          </w:tcPr>
          <w:p w14:paraId="06730C2B" w14:textId="77777777" w:rsidR="001263D0" w:rsidRDefault="00835E4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proofErr w:type="gramStart"/>
            <w:r>
              <w:rPr>
                <w:color w:val="000000"/>
              </w:rPr>
              <w:t>,1</w:t>
            </w:r>
            <w:proofErr w:type="gramEnd"/>
            <w:r>
              <w:rPr>
                <w:color w:val="000000"/>
              </w:rPr>
              <w:t> % (42,1 %; 69,4 %)</w:t>
            </w:r>
          </w:p>
        </w:tc>
      </w:tr>
      <w:tr w:rsidR="001263D0" w14:paraId="06730C2F" w14:textId="77777777">
        <w:trPr>
          <w:trHeight w:val="20"/>
        </w:trPr>
        <w:tc>
          <w:tcPr>
            <w:tcW w:w="628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2D" w14:textId="77777777" w:rsidR="001263D0" w:rsidRDefault="00835E4A" w:rsidP="00C32E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</w:rPr>
            </w:pPr>
            <w:r>
              <w:rPr>
                <w:color w:val="000000"/>
              </w:rPr>
              <w:t>Skóre CHOP-INTEND: zvýšení o ≥ 4 body oproti výchozí hodnotě</w:t>
            </w:r>
          </w:p>
        </w:tc>
        <w:tc>
          <w:tcPr>
            <w:tcW w:w="2835" w:type="dxa"/>
            <w:vAlign w:val="center"/>
          </w:tcPr>
          <w:p w14:paraId="06730C2E" w14:textId="77777777" w:rsidR="001263D0" w:rsidRDefault="00835E4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proofErr w:type="gramStart"/>
            <w:r>
              <w:rPr>
                <w:color w:val="000000"/>
              </w:rPr>
              <w:t>,2</w:t>
            </w:r>
            <w:proofErr w:type="gramEnd"/>
            <w:r>
              <w:rPr>
                <w:color w:val="000000"/>
              </w:rPr>
              <w:t> % (79,1 %; 96,6 %)</w:t>
            </w:r>
          </w:p>
        </w:tc>
      </w:tr>
      <w:tr w:rsidR="001263D0" w14:paraId="06730C32" w14:textId="77777777">
        <w:trPr>
          <w:trHeight w:val="20"/>
        </w:trPr>
        <w:tc>
          <w:tcPr>
            <w:tcW w:w="628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30" w14:textId="77777777" w:rsidR="001263D0" w:rsidRDefault="00835E4A" w:rsidP="00C32E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</w:rPr>
            </w:pPr>
            <w:r>
              <w:rPr>
                <w:color w:val="000000"/>
              </w:rPr>
              <w:t>Skóre HINE-2: odpověď z hlediska motorických milníků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2835" w:type="dxa"/>
            <w:vAlign w:val="center"/>
          </w:tcPr>
          <w:p w14:paraId="06730C31" w14:textId="77777777" w:rsidR="001263D0" w:rsidRDefault="00835E4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proofErr w:type="gramStart"/>
            <w:r>
              <w:rPr>
                <w:color w:val="000000"/>
              </w:rPr>
              <w:t>,0</w:t>
            </w:r>
            <w:proofErr w:type="gramEnd"/>
            <w:r>
              <w:rPr>
                <w:color w:val="000000"/>
              </w:rPr>
              <w:t> % (64,8 %; 88,0 %)</w:t>
            </w:r>
          </w:p>
        </w:tc>
      </w:tr>
      <w:tr w:rsidR="00E3370A" w14:paraId="06730C35" w14:textId="77777777" w:rsidTr="005C2288">
        <w:trPr>
          <w:trHeight w:val="20"/>
        </w:trPr>
        <w:tc>
          <w:tcPr>
            <w:tcW w:w="628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33" w14:textId="77777777" w:rsidR="00E3370A" w:rsidRDefault="00E3370A" w:rsidP="005C228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</w:rPr>
            </w:pPr>
            <w:r>
              <w:rPr>
                <w:color w:val="000000"/>
              </w:rPr>
              <w:t xml:space="preserve">Skóre HINE-2: </w:t>
            </w:r>
            <w:r w:rsidR="003A060E">
              <w:rPr>
                <w:color w:val="000000"/>
              </w:rPr>
              <w:t>sed bez pomoci</w:t>
            </w:r>
            <w:r w:rsidR="00074EF8">
              <w:rPr>
                <w:color w:val="000000"/>
                <w:vertAlign w:val="superscript"/>
              </w:rPr>
              <w:t>c</w:t>
            </w:r>
          </w:p>
        </w:tc>
        <w:tc>
          <w:tcPr>
            <w:tcW w:w="2835" w:type="dxa"/>
            <w:vAlign w:val="center"/>
          </w:tcPr>
          <w:p w14:paraId="06730C34" w14:textId="77777777" w:rsidR="00E3370A" w:rsidRDefault="003A060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proofErr w:type="gramStart"/>
            <w:r>
              <w:rPr>
                <w:color w:val="000000"/>
              </w:rPr>
              <w:t>,4</w:t>
            </w:r>
            <w:proofErr w:type="gramEnd"/>
            <w:r w:rsidR="00E3370A">
              <w:rPr>
                <w:color w:val="000000"/>
              </w:rPr>
              <w:t> % (</w:t>
            </w:r>
            <w:r>
              <w:rPr>
                <w:color w:val="000000"/>
              </w:rPr>
              <w:t>13,9</w:t>
            </w:r>
            <w:r w:rsidR="00E3370A">
              <w:rPr>
                <w:color w:val="000000"/>
              </w:rPr>
              <w:t xml:space="preserve"> %; </w:t>
            </w:r>
            <w:r>
              <w:rPr>
                <w:color w:val="000000"/>
              </w:rPr>
              <w:t>37,9</w:t>
            </w:r>
            <w:r w:rsidR="00E3370A">
              <w:rPr>
                <w:color w:val="000000"/>
              </w:rPr>
              <w:t> %)</w:t>
            </w:r>
          </w:p>
        </w:tc>
      </w:tr>
      <w:tr w:rsidR="00E3370A" w14:paraId="06730C38" w14:textId="77777777" w:rsidTr="005C2288">
        <w:trPr>
          <w:trHeight w:val="20"/>
        </w:trPr>
        <w:tc>
          <w:tcPr>
            <w:tcW w:w="628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36" w14:textId="77777777" w:rsidR="00E3370A" w:rsidRDefault="00E3370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</w:rPr>
            </w:pPr>
            <w:r>
              <w:rPr>
                <w:color w:val="000000"/>
              </w:rPr>
              <w:t xml:space="preserve">Skóre HINE-2: </w:t>
            </w:r>
            <w:r w:rsidR="00074EF8">
              <w:rPr>
                <w:color w:val="000000"/>
              </w:rPr>
              <w:t xml:space="preserve">schopnost </w:t>
            </w:r>
            <w:r w:rsidR="002C19DE">
              <w:rPr>
                <w:color w:val="000000"/>
              </w:rPr>
              <w:t>un</w:t>
            </w:r>
            <w:r w:rsidR="00074EF8">
              <w:rPr>
                <w:color w:val="000000"/>
              </w:rPr>
              <w:t>ést</w:t>
            </w:r>
            <w:r w:rsidR="002C19DE">
              <w:rPr>
                <w:color w:val="000000"/>
              </w:rPr>
              <w:t xml:space="preserve"> </w:t>
            </w:r>
            <w:r w:rsidR="00470860">
              <w:rPr>
                <w:color w:val="000000"/>
              </w:rPr>
              <w:t xml:space="preserve">vlastní </w:t>
            </w:r>
            <w:r w:rsidR="002C19DE">
              <w:rPr>
                <w:color w:val="000000"/>
              </w:rPr>
              <w:t xml:space="preserve">váhu nebo stoj </w:t>
            </w:r>
            <w:r w:rsidR="00FA17F0">
              <w:rPr>
                <w:color w:val="000000"/>
              </w:rPr>
              <w:t>s</w:t>
            </w:r>
            <w:r w:rsidR="002C19DE">
              <w:rPr>
                <w:color w:val="000000"/>
              </w:rPr>
              <w:t xml:space="preserve"> pomoc</w:t>
            </w:r>
            <w:r w:rsidR="00FA17F0">
              <w:rPr>
                <w:color w:val="000000"/>
              </w:rPr>
              <w:t>í</w:t>
            </w:r>
            <w:r w:rsidR="00074EF8">
              <w:rPr>
                <w:color w:val="000000"/>
                <w:vertAlign w:val="superscript"/>
              </w:rPr>
              <w:t>d</w:t>
            </w:r>
          </w:p>
        </w:tc>
        <w:tc>
          <w:tcPr>
            <w:tcW w:w="2835" w:type="dxa"/>
            <w:vAlign w:val="center"/>
          </w:tcPr>
          <w:p w14:paraId="06730C37" w14:textId="77777777" w:rsidR="00E3370A" w:rsidRDefault="00074EF8" w:rsidP="00B7709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proofErr w:type="gramStart"/>
            <w:r w:rsidR="00E3370A">
              <w:rPr>
                <w:color w:val="000000"/>
              </w:rPr>
              <w:t>,0</w:t>
            </w:r>
            <w:proofErr w:type="gramEnd"/>
            <w:r w:rsidR="00E3370A">
              <w:rPr>
                <w:color w:val="000000"/>
              </w:rPr>
              <w:t> % (</w:t>
            </w:r>
            <w:r>
              <w:rPr>
                <w:color w:val="000000"/>
              </w:rPr>
              <w:t>12</w:t>
            </w:r>
            <w:r w:rsidR="00E3370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E3370A">
              <w:rPr>
                <w:color w:val="000000"/>
              </w:rPr>
              <w:t xml:space="preserve"> %; </w:t>
            </w:r>
            <w:r>
              <w:rPr>
                <w:color w:val="000000"/>
              </w:rPr>
              <w:t>35,2</w:t>
            </w:r>
            <w:r w:rsidR="00E3370A">
              <w:rPr>
                <w:color w:val="000000"/>
              </w:rPr>
              <w:t> %)</w:t>
            </w:r>
          </w:p>
        </w:tc>
      </w:tr>
      <w:tr w:rsidR="001263D0" w14:paraId="06730C3A" w14:textId="77777777" w:rsidTr="00B13338">
        <w:trPr>
          <w:trHeight w:val="398"/>
        </w:trPr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39" w14:textId="77777777" w:rsidR="001263D0" w:rsidRDefault="00835E4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Přežití a přežití bez příhod</w:t>
            </w:r>
          </w:p>
        </w:tc>
      </w:tr>
      <w:tr w:rsidR="001263D0" w14:paraId="06730C3D" w14:textId="77777777">
        <w:trPr>
          <w:trHeight w:val="20"/>
        </w:trPr>
        <w:tc>
          <w:tcPr>
            <w:tcW w:w="628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3B" w14:textId="77777777" w:rsidR="001263D0" w:rsidRDefault="00835E4A" w:rsidP="00C32E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</w:rPr>
            </w:pPr>
            <w:r>
              <w:rPr>
                <w:color w:val="000000"/>
              </w:rPr>
              <w:t>Přežití bez příhod</w:t>
            </w:r>
            <w:r w:rsidR="00074EF8">
              <w:rPr>
                <w:color w:val="000000"/>
                <w:vertAlign w:val="superscript"/>
              </w:rPr>
              <w:t>e</w:t>
            </w:r>
          </w:p>
        </w:tc>
        <w:tc>
          <w:tcPr>
            <w:tcW w:w="2835" w:type="dxa"/>
            <w:vAlign w:val="center"/>
          </w:tcPr>
          <w:p w14:paraId="06730C3C" w14:textId="77777777" w:rsidR="001263D0" w:rsidRDefault="00835E4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proofErr w:type="gramStart"/>
            <w:r>
              <w:rPr>
                <w:color w:val="000000"/>
              </w:rPr>
              <w:t>,4</w:t>
            </w:r>
            <w:proofErr w:type="gramEnd"/>
            <w:r>
              <w:rPr>
                <w:color w:val="000000"/>
              </w:rPr>
              <w:t> % (73,4 %; 92,2 %)</w:t>
            </w:r>
          </w:p>
        </w:tc>
      </w:tr>
      <w:tr w:rsidR="001263D0" w14:paraId="06730C40" w14:textId="77777777">
        <w:trPr>
          <w:trHeight w:val="20"/>
        </w:trPr>
        <w:tc>
          <w:tcPr>
            <w:tcW w:w="628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3E" w14:textId="77777777" w:rsidR="001263D0" w:rsidRDefault="00835E4A" w:rsidP="00C32E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</w:rPr>
            </w:pPr>
            <w:r>
              <w:rPr>
                <w:color w:val="000000"/>
              </w:rPr>
              <w:t>Přežití</w:t>
            </w:r>
          </w:p>
        </w:tc>
        <w:tc>
          <w:tcPr>
            <w:tcW w:w="2835" w:type="dxa"/>
            <w:vAlign w:val="center"/>
          </w:tcPr>
          <w:p w14:paraId="06730C3F" w14:textId="77777777" w:rsidR="001263D0" w:rsidRDefault="00835E4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proofErr w:type="gramStart"/>
            <w:r>
              <w:rPr>
                <w:color w:val="000000"/>
              </w:rPr>
              <w:t>,7</w:t>
            </w:r>
            <w:proofErr w:type="gramEnd"/>
            <w:r>
              <w:rPr>
                <w:color w:val="000000"/>
              </w:rPr>
              <w:t> % (82,2 %; 97,1 %)</w:t>
            </w:r>
          </w:p>
        </w:tc>
      </w:tr>
      <w:tr w:rsidR="001263D0" w14:paraId="06730C42" w14:textId="77777777" w:rsidTr="00B13338">
        <w:trPr>
          <w:trHeight w:val="372"/>
        </w:trPr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41" w14:textId="77777777" w:rsidR="001263D0" w:rsidRDefault="0050005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</w:t>
            </w:r>
            <w:r w:rsidR="00835E4A">
              <w:rPr>
                <w:color w:val="000000"/>
                <w:u w:val="single"/>
              </w:rPr>
              <w:t>rmení</w:t>
            </w:r>
          </w:p>
        </w:tc>
      </w:tr>
      <w:tr w:rsidR="001263D0" w14:paraId="06730C45" w14:textId="77777777">
        <w:trPr>
          <w:trHeight w:val="20"/>
        </w:trPr>
        <w:tc>
          <w:tcPr>
            <w:tcW w:w="6288" w:type="dxa"/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730C43" w14:textId="5C9D7CAE" w:rsidR="001263D0" w:rsidRDefault="00835E4A" w:rsidP="003C72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2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Schopnost krmení </w:t>
            </w:r>
            <w:r w:rsidR="00012B21">
              <w:rPr>
                <w:color w:val="000000"/>
              </w:rPr>
              <w:t>perorálně</w:t>
            </w:r>
            <w:r w:rsidR="006406AA">
              <w:rPr>
                <w:color w:val="000000"/>
                <w:vertAlign w:val="superscript"/>
              </w:rPr>
              <w:t>f</w:t>
            </w:r>
            <w:r w:rsidR="006406AA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6730C44" w14:textId="77777777" w:rsidR="001263D0" w:rsidRDefault="00835E4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proofErr w:type="gramStart"/>
            <w:r>
              <w:rPr>
                <w:color w:val="000000"/>
              </w:rPr>
              <w:t>,9</w:t>
            </w:r>
            <w:proofErr w:type="gramEnd"/>
            <w:r>
              <w:rPr>
                <w:color w:val="000000"/>
              </w:rPr>
              <w:t> % (70,3 %; 91,7 %)</w:t>
            </w:r>
          </w:p>
        </w:tc>
      </w:tr>
    </w:tbl>
    <w:p w14:paraId="06730C46" w14:textId="20C51021" w:rsidR="001263D0" w:rsidRDefault="00012B21">
      <w:pPr>
        <w:keepLines/>
        <w:pBdr>
          <w:top w:val="nil"/>
          <w:left w:val="nil"/>
          <w:bottom w:val="nil"/>
          <w:right w:val="nil"/>
          <w:between w:val="nil"/>
        </w:pBdr>
        <w:ind w:left="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Zkratky</w:t>
      </w:r>
      <w:r w:rsidR="00835E4A">
        <w:rPr>
          <w:color w:val="000000"/>
          <w:sz w:val="18"/>
          <w:szCs w:val="18"/>
        </w:rPr>
        <w:t>: CHOP-INTEND – Children’s Hospital of Philadelphia Infant Test of Neuromuscular Disorders; HINE-2 – modul 2 Hammersmith Infant Neurological Examination.</w:t>
      </w:r>
    </w:p>
    <w:p w14:paraId="06730C47" w14:textId="77777777" w:rsidR="001263D0" w:rsidRDefault="00835E4A">
      <w:pPr>
        <w:keepLines/>
        <w:pBdr>
          <w:top w:val="nil"/>
          <w:left w:val="nil"/>
          <w:bottom w:val="nil"/>
          <w:right w:val="nil"/>
          <w:between w:val="nil"/>
        </w:pBdr>
        <w:ind w:left="245" w:hanging="216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  <w:vertAlign w:val="superscript"/>
        </w:rPr>
        <w:t>a</w:t>
      </w:r>
      <w:proofErr w:type="gramEnd"/>
      <w:r>
        <w:rPr>
          <w:color w:val="000000"/>
          <w:sz w:val="18"/>
          <w:szCs w:val="18"/>
          <w:vertAlign w:val="superscript"/>
        </w:rPr>
        <w:tab/>
      </w:r>
      <w:r w:rsidR="00C546B4">
        <w:rPr>
          <w:color w:val="000000"/>
          <w:sz w:val="18"/>
          <w:szCs w:val="18"/>
        </w:rPr>
        <w:t>Hodnota </w:t>
      </w:r>
      <w:r>
        <w:rPr>
          <w:color w:val="000000"/>
          <w:sz w:val="18"/>
          <w:szCs w:val="18"/>
        </w:rPr>
        <w:t xml:space="preserve">p </w:t>
      </w:r>
      <w:r w:rsidR="004023EE">
        <w:rPr>
          <w:color w:val="000000"/>
          <w:sz w:val="18"/>
          <w:szCs w:val="18"/>
        </w:rPr>
        <w:t xml:space="preserve">je stanovena </w:t>
      </w:r>
      <w:r>
        <w:rPr>
          <w:color w:val="000000"/>
          <w:sz w:val="18"/>
          <w:szCs w:val="18"/>
        </w:rPr>
        <w:t xml:space="preserve">pomocí </w:t>
      </w:r>
      <w:r w:rsidR="004023EE">
        <w:rPr>
          <w:color w:val="000000"/>
          <w:sz w:val="18"/>
          <w:szCs w:val="18"/>
        </w:rPr>
        <w:t xml:space="preserve">jednostranného </w:t>
      </w:r>
      <w:r>
        <w:rPr>
          <w:color w:val="000000"/>
          <w:sz w:val="18"/>
          <w:szCs w:val="18"/>
        </w:rPr>
        <w:t xml:space="preserve">exaktního binomického testu. </w:t>
      </w:r>
      <w:r w:rsidR="004023EE">
        <w:rPr>
          <w:color w:val="000000"/>
          <w:sz w:val="18"/>
          <w:szCs w:val="18"/>
        </w:rPr>
        <w:t>Výsledek je porovnán s mezní hodnotou 5 %.</w:t>
      </w:r>
    </w:p>
    <w:p w14:paraId="06730C48" w14:textId="3AC51768" w:rsidR="001263D0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45" w:hanging="21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b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z w:val="18"/>
          <w:szCs w:val="18"/>
        </w:rPr>
        <w:t xml:space="preserve">Podle HINE-2: zvýšení (nebo maximální skóre) schopnosti kopu o ≥ 2 body NEBO zvýšení motorických milníků </w:t>
      </w:r>
      <w:r w:rsidR="00012B21">
        <w:rPr>
          <w:color w:val="000000"/>
          <w:sz w:val="18"/>
          <w:szCs w:val="18"/>
        </w:rPr>
        <w:t>držení</w:t>
      </w:r>
      <w:r>
        <w:rPr>
          <w:color w:val="000000"/>
          <w:sz w:val="18"/>
          <w:szCs w:val="18"/>
        </w:rPr>
        <w:t xml:space="preserve"> hlav</w:t>
      </w:r>
      <w:r w:rsidR="00012B21">
        <w:rPr>
          <w:color w:val="000000"/>
          <w:sz w:val="18"/>
          <w:szCs w:val="18"/>
        </w:rPr>
        <w:t>y</w:t>
      </w:r>
      <w:r>
        <w:rPr>
          <w:color w:val="000000"/>
          <w:sz w:val="18"/>
          <w:szCs w:val="18"/>
        </w:rPr>
        <w:t>, převalení, sed, plazení, stoj nebo chůze o ≥ 1 bod; odpověď z hlediska motorických milníků je pro účely této analýzy definována jako zlepšení ve více kategoriích motorických milníků, než v kolika došlo ke zhoršení.</w:t>
      </w:r>
    </w:p>
    <w:p w14:paraId="06730C49" w14:textId="77777777" w:rsidR="003B0559" w:rsidRDefault="00835E4A">
      <w:pPr>
        <w:keepLines/>
        <w:pBdr>
          <w:top w:val="nil"/>
          <w:left w:val="nil"/>
          <w:bottom w:val="nil"/>
          <w:right w:val="nil"/>
          <w:between w:val="nil"/>
        </w:pBdr>
        <w:ind w:left="245" w:hanging="216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  <w:vertAlign w:val="superscript"/>
        </w:rPr>
        <w:t>c</w:t>
      </w:r>
      <w:proofErr w:type="gramEnd"/>
      <w:r>
        <w:rPr>
          <w:color w:val="000000"/>
          <w:sz w:val="18"/>
          <w:szCs w:val="18"/>
        </w:rPr>
        <w:tab/>
      </w:r>
      <w:r w:rsidR="00F11B95" w:rsidRPr="00F11B95">
        <w:rPr>
          <w:color w:val="000000"/>
          <w:sz w:val="18"/>
          <w:szCs w:val="18"/>
        </w:rPr>
        <w:t xml:space="preserve">Sed bez pomoci zahrnuje </w:t>
      </w:r>
      <w:r w:rsidR="00E1217D">
        <w:rPr>
          <w:color w:val="000000"/>
          <w:sz w:val="18"/>
          <w:szCs w:val="18"/>
        </w:rPr>
        <w:t xml:space="preserve">pacienty, kteří dosáhli </w:t>
      </w:r>
      <w:r w:rsidR="00F11B95" w:rsidRPr="00F11B95">
        <w:rPr>
          <w:color w:val="000000"/>
          <w:sz w:val="18"/>
          <w:szCs w:val="18"/>
        </w:rPr>
        <w:t>„stabilní</w:t>
      </w:r>
      <w:r w:rsidR="00E1217D">
        <w:rPr>
          <w:color w:val="000000"/>
          <w:sz w:val="18"/>
          <w:szCs w:val="18"/>
        </w:rPr>
        <w:t>ho</w:t>
      </w:r>
      <w:r w:rsidR="00F11B95" w:rsidRPr="00F11B95">
        <w:rPr>
          <w:color w:val="000000"/>
          <w:sz w:val="18"/>
          <w:szCs w:val="18"/>
        </w:rPr>
        <w:t xml:space="preserve"> sed</w:t>
      </w:r>
      <w:r w:rsidR="00E1217D">
        <w:rPr>
          <w:color w:val="000000"/>
          <w:sz w:val="18"/>
          <w:szCs w:val="18"/>
        </w:rPr>
        <w:t>u</w:t>
      </w:r>
      <w:r w:rsidR="00F11B95" w:rsidRPr="00F11B95">
        <w:rPr>
          <w:color w:val="000000"/>
          <w:sz w:val="18"/>
          <w:szCs w:val="18"/>
        </w:rPr>
        <w:t>“ (15 %; 6/41) a „otáčení vsedě“ (10 %; 4/41) hodnocené pomocí HINE-2.</w:t>
      </w:r>
    </w:p>
    <w:p w14:paraId="06730C4A" w14:textId="77777777" w:rsidR="00F11B95" w:rsidRDefault="00F11B95">
      <w:pPr>
        <w:keepLines/>
        <w:pBdr>
          <w:top w:val="nil"/>
          <w:left w:val="nil"/>
          <w:bottom w:val="nil"/>
          <w:right w:val="nil"/>
          <w:between w:val="nil"/>
        </w:pBdr>
        <w:ind w:left="245" w:hanging="216"/>
        <w:rPr>
          <w:color w:val="000000"/>
          <w:sz w:val="18"/>
          <w:szCs w:val="18"/>
        </w:rPr>
      </w:pPr>
      <w:proofErr w:type="gramStart"/>
      <w:r w:rsidRPr="00C32ED0">
        <w:rPr>
          <w:color w:val="000000"/>
          <w:sz w:val="18"/>
          <w:szCs w:val="18"/>
          <w:vertAlign w:val="superscript"/>
        </w:rPr>
        <w:t>d</w:t>
      </w:r>
      <w:proofErr w:type="gramEnd"/>
      <w:r w:rsidRPr="00F11B95">
        <w:rPr>
          <w:color w:val="000000"/>
          <w:sz w:val="18"/>
          <w:szCs w:val="18"/>
        </w:rPr>
        <w:tab/>
        <w:t xml:space="preserve">Schopnost unést </w:t>
      </w:r>
      <w:r w:rsidR="00F80D55">
        <w:rPr>
          <w:color w:val="000000"/>
          <w:sz w:val="18"/>
          <w:szCs w:val="18"/>
        </w:rPr>
        <w:t xml:space="preserve">vlastní </w:t>
      </w:r>
      <w:r w:rsidRPr="00F11B95">
        <w:rPr>
          <w:color w:val="000000"/>
          <w:sz w:val="18"/>
          <w:szCs w:val="18"/>
        </w:rPr>
        <w:t xml:space="preserve">váhu nebo stoj </w:t>
      </w:r>
      <w:r w:rsidR="00E85974">
        <w:rPr>
          <w:color w:val="000000"/>
          <w:sz w:val="18"/>
          <w:szCs w:val="18"/>
        </w:rPr>
        <w:t>s</w:t>
      </w:r>
      <w:r w:rsidRPr="00F11B95">
        <w:rPr>
          <w:color w:val="000000"/>
          <w:sz w:val="18"/>
          <w:szCs w:val="18"/>
        </w:rPr>
        <w:t xml:space="preserve"> pomoc</w:t>
      </w:r>
      <w:r w:rsidR="00E85974">
        <w:rPr>
          <w:color w:val="000000"/>
          <w:sz w:val="18"/>
          <w:szCs w:val="18"/>
        </w:rPr>
        <w:t>í</w:t>
      </w:r>
      <w:r w:rsidRPr="00F11B95">
        <w:rPr>
          <w:color w:val="000000"/>
          <w:sz w:val="18"/>
          <w:szCs w:val="18"/>
        </w:rPr>
        <w:t xml:space="preserve"> zahrnuje</w:t>
      </w:r>
      <w:r w:rsidR="00E85974">
        <w:rPr>
          <w:color w:val="000000"/>
          <w:sz w:val="18"/>
          <w:szCs w:val="18"/>
        </w:rPr>
        <w:t xml:space="preserve"> pacienty, kteří dosáhli</w:t>
      </w:r>
      <w:r w:rsidRPr="00F11B95">
        <w:rPr>
          <w:color w:val="000000"/>
          <w:sz w:val="18"/>
          <w:szCs w:val="18"/>
        </w:rPr>
        <w:t xml:space="preserve"> „schopnost</w:t>
      </w:r>
      <w:r w:rsidR="00A06D1E">
        <w:rPr>
          <w:color w:val="000000"/>
          <w:sz w:val="18"/>
          <w:szCs w:val="18"/>
        </w:rPr>
        <w:t>i</w:t>
      </w:r>
      <w:r w:rsidRPr="00F11B95">
        <w:rPr>
          <w:color w:val="000000"/>
          <w:sz w:val="18"/>
          <w:szCs w:val="18"/>
        </w:rPr>
        <w:t xml:space="preserve"> unést </w:t>
      </w:r>
      <w:r w:rsidR="00A06D1E">
        <w:rPr>
          <w:color w:val="000000"/>
          <w:sz w:val="18"/>
          <w:szCs w:val="18"/>
        </w:rPr>
        <w:t xml:space="preserve">vlastní </w:t>
      </w:r>
      <w:r w:rsidRPr="00F11B95">
        <w:rPr>
          <w:color w:val="000000"/>
          <w:sz w:val="18"/>
          <w:szCs w:val="18"/>
        </w:rPr>
        <w:t>váhu“ (17 %; 7/41) a „stoj</w:t>
      </w:r>
      <w:r w:rsidR="00A06D1E">
        <w:rPr>
          <w:color w:val="000000"/>
          <w:sz w:val="18"/>
          <w:szCs w:val="18"/>
        </w:rPr>
        <w:t>e</w:t>
      </w:r>
      <w:r w:rsidRPr="00F11B95">
        <w:rPr>
          <w:color w:val="000000"/>
          <w:sz w:val="18"/>
          <w:szCs w:val="18"/>
        </w:rPr>
        <w:t xml:space="preserve"> </w:t>
      </w:r>
      <w:r w:rsidR="00A06D1E">
        <w:rPr>
          <w:color w:val="000000"/>
          <w:sz w:val="18"/>
          <w:szCs w:val="18"/>
        </w:rPr>
        <w:t>s</w:t>
      </w:r>
      <w:r w:rsidRPr="00F11B95">
        <w:rPr>
          <w:color w:val="000000"/>
          <w:sz w:val="18"/>
          <w:szCs w:val="18"/>
        </w:rPr>
        <w:t xml:space="preserve"> pomoc</w:t>
      </w:r>
      <w:r w:rsidR="00A06D1E">
        <w:rPr>
          <w:color w:val="000000"/>
          <w:sz w:val="18"/>
          <w:szCs w:val="18"/>
        </w:rPr>
        <w:t>í</w:t>
      </w:r>
      <w:r w:rsidRPr="00F11B95">
        <w:rPr>
          <w:color w:val="000000"/>
          <w:sz w:val="18"/>
          <w:szCs w:val="18"/>
        </w:rPr>
        <w:t>“ (5 %; 2/41) hodnocené pomocí HINE-2.</w:t>
      </w:r>
    </w:p>
    <w:p w14:paraId="06730C4B" w14:textId="361FBF4F" w:rsidR="001263D0" w:rsidRPr="00344835" w:rsidRDefault="00F11B95">
      <w:pPr>
        <w:keepLines/>
        <w:pBdr>
          <w:top w:val="nil"/>
          <w:left w:val="nil"/>
          <w:bottom w:val="nil"/>
          <w:right w:val="nil"/>
          <w:between w:val="nil"/>
        </w:pBdr>
        <w:ind w:left="245" w:hanging="216"/>
        <w:rPr>
          <w:color w:val="000000"/>
          <w:sz w:val="18"/>
          <w:szCs w:val="18"/>
          <w:lang w:val="pt-BR"/>
        </w:rPr>
      </w:pPr>
      <w:proofErr w:type="gramStart"/>
      <w:r w:rsidRPr="00C32ED0">
        <w:rPr>
          <w:color w:val="000000"/>
          <w:sz w:val="18"/>
          <w:szCs w:val="18"/>
          <w:vertAlign w:val="superscript"/>
        </w:rPr>
        <w:t>e</w:t>
      </w:r>
      <w:proofErr w:type="gramEnd"/>
      <w:r w:rsidRPr="00C32ED0">
        <w:rPr>
          <w:color w:val="000000"/>
          <w:sz w:val="18"/>
          <w:szCs w:val="18"/>
          <w:vertAlign w:val="superscript"/>
        </w:rPr>
        <w:tab/>
      </w:r>
      <w:r w:rsidR="00835E4A">
        <w:rPr>
          <w:color w:val="000000"/>
          <w:sz w:val="18"/>
          <w:szCs w:val="18"/>
        </w:rPr>
        <w:t xml:space="preserve">Příhoda splňující kritéria cílového parametru trvalé ventilace je definována jako tracheostomie nebo ≥ 16 hodin neinvazivní ventilace denně nebo intubace po dobu &gt; 21 po sobě jdoucích dnů bez akutní reverzibilní příhody nebo po vyřešení akutní reverzibilní příhody. </w:t>
      </w:r>
      <w:r w:rsidR="00835E4A" w:rsidRPr="00344835">
        <w:rPr>
          <w:color w:val="000000"/>
          <w:sz w:val="18"/>
          <w:szCs w:val="18"/>
          <w:lang w:val="pt-BR"/>
        </w:rPr>
        <w:t xml:space="preserve">Tři pacienti splnili kritéria cílového parametru trvalé ventilace do </w:t>
      </w:r>
      <w:r w:rsidR="00012B21">
        <w:rPr>
          <w:color w:val="000000"/>
          <w:sz w:val="18"/>
          <w:szCs w:val="18"/>
          <w:lang w:val="pt-BR"/>
        </w:rPr>
        <w:t xml:space="preserve">12. </w:t>
      </w:r>
      <w:r w:rsidR="00835E4A" w:rsidRPr="00344835">
        <w:rPr>
          <w:color w:val="000000"/>
          <w:sz w:val="18"/>
          <w:szCs w:val="18"/>
          <w:lang w:val="pt-BR"/>
        </w:rPr>
        <w:t>měsíce. Všichni 3 pacienti dosáhli zvýšení výchozího skóre CHOP-INTEND nejméně o 4 body.</w:t>
      </w:r>
    </w:p>
    <w:p w14:paraId="06730C4C" w14:textId="3E221A3D" w:rsidR="001263D0" w:rsidRPr="00344835" w:rsidRDefault="00A548F0">
      <w:pPr>
        <w:keepLines/>
        <w:pBdr>
          <w:top w:val="nil"/>
          <w:left w:val="nil"/>
          <w:bottom w:val="nil"/>
          <w:right w:val="nil"/>
          <w:between w:val="nil"/>
        </w:pBdr>
        <w:ind w:left="245" w:hanging="216"/>
        <w:rPr>
          <w:color w:val="000000"/>
          <w:sz w:val="18"/>
          <w:szCs w:val="18"/>
          <w:lang w:val="pt-BR"/>
        </w:rPr>
      </w:pPr>
      <w:r w:rsidRPr="00344835">
        <w:rPr>
          <w:color w:val="000000"/>
          <w:sz w:val="18"/>
          <w:szCs w:val="18"/>
          <w:vertAlign w:val="superscript"/>
          <w:lang w:val="pt-BR"/>
        </w:rPr>
        <w:t>f</w:t>
      </w:r>
      <w:r w:rsidR="00835E4A" w:rsidRPr="00344835">
        <w:rPr>
          <w:color w:val="000000"/>
          <w:sz w:val="18"/>
          <w:szCs w:val="18"/>
          <w:lang w:val="pt-BR"/>
        </w:rPr>
        <w:tab/>
        <w:t xml:space="preserve">Zahrnuje pacienty krmené výhradně </w:t>
      </w:r>
      <w:r w:rsidR="00012B21">
        <w:rPr>
          <w:color w:val="000000"/>
          <w:sz w:val="18"/>
          <w:szCs w:val="18"/>
          <w:lang w:val="pt-BR"/>
        </w:rPr>
        <w:t>perorálně</w:t>
      </w:r>
      <w:r w:rsidR="00835E4A" w:rsidRPr="00344835">
        <w:rPr>
          <w:color w:val="000000"/>
          <w:sz w:val="18"/>
          <w:szCs w:val="18"/>
          <w:lang w:val="pt-BR"/>
        </w:rPr>
        <w:t xml:space="preserve"> (celkem 28 pacientů) a pacienty krmené </w:t>
      </w:r>
      <w:r w:rsidR="00012B21">
        <w:rPr>
          <w:color w:val="000000"/>
          <w:sz w:val="18"/>
          <w:szCs w:val="18"/>
          <w:lang w:val="pt-BR"/>
        </w:rPr>
        <w:t>perorálně</w:t>
      </w:r>
      <w:r w:rsidR="00835E4A" w:rsidRPr="00344835">
        <w:rPr>
          <w:color w:val="000000"/>
          <w:sz w:val="18"/>
          <w:szCs w:val="18"/>
          <w:lang w:val="pt-BR"/>
        </w:rPr>
        <w:t xml:space="preserve"> v kombinaci s výživovou sondou (celkem 6 pacientů) v</w:t>
      </w:r>
      <w:r w:rsidR="007A085D">
        <w:rPr>
          <w:color w:val="000000"/>
          <w:sz w:val="18"/>
          <w:szCs w:val="18"/>
          <w:lang w:val="pt-BR"/>
        </w:rPr>
        <w:t>e 12.</w:t>
      </w:r>
      <w:r w:rsidR="00835E4A" w:rsidRPr="00344835">
        <w:rPr>
          <w:color w:val="000000"/>
          <w:sz w:val="18"/>
          <w:szCs w:val="18"/>
          <w:lang w:val="pt-BR"/>
        </w:rPr>
        <w:t xml:space="preserve"> měsíci.  </w:t>
      </w:r>
    </w:p>
    <w:p w14:paraId="06730C4D" w14:textId="77777777" w:rsidR="001263D0" w:rsidRPr="00344835" w:rsidRDefault="001263D0">
      <w:pPr>
        <w:keepLines/>
        <w:pBdr>
          <w:top w:val="nil"/>
          <w:left w:val="nil"/>
          <w:bottom w:val="nil"/>
          <w:right w:val="nil"/>
          <w:between w:val="nil"/>
        </w:pBdr>
        <w:ind w:left="29"/>
        <w:rPr>
          <w:color w:val="FF0000"/>
          <w:sz w:val="20"/>
          <w:lang w:val="pt-BR"/>
        </w:rPr>
      </w:pPr>
    </w:p>
    <w:p w14:paraId="06730C4E" w14:textId="3D556A88" w:rsidR="001263D0" w:rsidRPr="00344835" w:rsidRDefault="00A548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344835">
        <w:rPr>
          <w:color w:val="000000"/>
          <w:lang w:val="pt-BR"/>
        </w:rPr>
        <w:t>Neléčení pacienti s SMA s nástupem v dětství by nikdy nedokázali sedět bez pomoci a u pouze 25 % by bylo možné předpokládat přežití bez trvalé ventilace po dosažení věku 14 měsíců.</w:t>
      </w:r>
    </w:p>
    <w:p w14:paraId="06730C4F" w14:textId="77777777" w:rsidR="00086F44" w:rsidRPr="00344835" w:rsidRDefault="00086F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6730C50" w14:textId="77777777" w:rsidR="001263D0" w:rsidRPr="00344835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44835">
        <w:rPr>
          <w:b/>
          <w:color w:val="000000"/>
          <w:lang w:val="pt-BR"/>
        </w:rPr>
        <w:lastRenderedPageBreak/>
        <w:t>Obrázek 1. Kaplan-Meierova křivka přežití bez příhod (studie FIREFISH část 1 a část 2)</w:t>
      </w:r>
    </w:p>
    <w:p w14:paraId="06730C51" w14:textId="77777777" w:rsidR="001263D0" w:rsidRPr="00344835" w:rsidRDefault="001263D0" w:rsidP="00960A95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</w:p>
    <w:p w14:paraId="06730C52" w14:textId="77777777" w:rsidR="001263D0" w:rsidRDefault="00086F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noProof/>
          <w:lang w:val="cs-CZ" w:eastAsia="cs-CZ"/>
        </w:rPr>
        <w:drawing>
          <wp:inline distT="0" distB="0" distL="0" distR="0" wp14:anchorId="06731154" wp14:editId="06731155">
            <wp:extent cx="5130800" cy="2969540"/>
            <wp:effectExtent l="0" t="0" r="0" b="254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1238" cy="298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30C53" w14:textId="27958CCD" w:rsidR="001263D0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  <w:r>
        <w:rPr>
          <w:color w:val="000000"/>
          <w:sz w:val="20"/>
        </w:rPr>
        <w:t>+ </w:t>
      </w:r>
      <w:proofErr w:type="gramStart"/>
      <w:r>
        <w:rPr>
          <w:color w:val="000000"/>
          <w:sz w:val="20"/>
        </w:rPr>
        <w:t>cenzorování</w:t>
      </w:r>
      <w:proofErr w:type="gramEnd"/>
      <w:r>
        <w:rPr>
          <w:color w:val="000000"/>
          <w:sz w:val="20"/>
        </w:rPr>
        <w:t>: jeden pacient v části 2 byl cenzorován kvůli předčasnému absolvování návštěvy v</w:t>
      </w:r>
      <w:r w:rsidR="00946B89">
        <w:rPr>
          <w:color w:val="000000"/>
          <w:sz w:val="20"/>
        </w:rPr>
        <w:t>e 12.</w:t>
      </w:r>
      <w:r>
        <w:rPr>
          <w:color w:val="000000"/>
          <w:sz w:val="20"/>
        </w:rPr>
        <w:t> </w:t>
      </w:r>
      <w:proofErr w:type="gramStart"/>
      <w:r>
        <w:rPr>
          <w:color w:val="000000"/>
          <w:sz w:val="20"/>
        </w:rPr>
        <w:t>měsíci</w:t>
      </w:r>
      <w:proofErr w:type="gramEnd"/>
      <w:r w:rsidR="006858C7" w:rsidRPr="006858C7">
        <w:rPr>
          <w:color w:val="000000"/>
          <w:sz w:val="20"/>
        </w:rPr>
        <w:t>, jeden pacient v části 1 byl cenzorován po předčasném ukončení léčby a zemřel o 3,5 měsíc</w:t>
      </w:r>
      <w:r w:rsidR="00946B89">
        <w:rPr>
          <w:color w:val="000000"/>
          <w:sz w:val="20"/>
        </w:rPr>
        <w:t>e později</w:t>
      </w:r>
    </w:p>
    <w:p w14:paraId="06730C54" w14:textId="77777777" w:rsidR="001263D0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55" w14:textId="2F4754C3" w:rsidR="001263D0" w:rsidRDefault="00835E4A" w:rsidP="00960A95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000000"/>
        </w:rPr>
        <w:t xml:space="preserve">Obrázek 2. </w:t>
      </w:r>
      <w:r w:rsidR="00931610">
        <w:rPr>
          <w:b/>
          <w:color w:val="000000"/>
        </w:rPr>
        <w:t xml:space="preserve">Průměrná </w:t>
      </w:r>
      <w:r>
        <w:rPr>
          <w:b/>
          <w:color w:val="000000"/>
        </w:rPr>
        <w:t>změna oproti výchozí hodnotě celkového skóre CHOP-INTEND (studie FIREFISH část 2)</w:t>
      </w:r>
    </w:p>
    <w:p w14:paraId="06730C56" w14:textId="77777777" w:rsidR="001263D0" w:rsidRDefault="001263D0" w:rsidP="00960A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57" w14:textId="2CBD6D65" w:rsidR="001263D0" w:rsidRDefault="004B0622" w:rsidP="00960A9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946B89">
        <w:rPr>
          <w:noProof/>
          <w:color w:val="000000"/>
          <w:lang w:val="cs-CZ" w:eastAsia="cs-CZ"/>
        </w:rPr>
        <w:drawing>
          <wp:inline distT="0" distB="0" distL="0" distR="0" wp14:anchorId="64B3573D" wp14:editId="2F6765E9">
            <wp:extent cx="5285740" cy="326771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30C58" w14:textId="4191ABE4" w:rsidR="00A83511" w:rsidRDefault="00A83511" w:rsidP="00960A9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</w:p>
    <w:p w14:paraId="06730C59" w14:textId="77777777" w:rsidR="001263D0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lastRenderedPageBreak/>
        <w:t>Studie FIREFISH část 1</w:t>
      </w:r>
    </w:p>
    <w:p w14:paraId="06730C5A" w14:textId="77777777" w:rsidR="001263D0" w:rsidRDefault="001263D0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6730C5B" w14:textId="2B402CF9" w:rsidR="001263D0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Účinnost přípravku Evrysdi v léčbě SMA 1. </w:t>
      </w:r>
      <w:proofErr w:type="gramStart"/>
      <w:r>
        <w:rPr>
          <w:color w:val="000000"/>
        </w:rPr>
        <w:t>typu</w:t>
      </w:r>
      <w:proofErr w:type="gramEnd"/>
      <w:r>
        <w:rPr>
          <w:color w:val="000000"/>
        </w:rPr>
        <w:t xml:space="preserve"> </w:t>
      </w:r>
      <w:r w:rsidR="0041663B">
        <w:rPr>
          <w:color w:val="000000"/>
        </w:rPr>
        <w:t>také</w:t>
      </w:r>
      <w:r>
        <w:rPr>
          <w:color w:val="000000"/>
        </w:rPr>
        <w:t xml:space="preserve"> dokládají výsledky studie FIREFISH část 1. Výchozí charakteristiky 21 pacientů z části 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odpovídaly symptomatickým pacientům s SMA 1. </w:t>
      </w:r>
      <w:proofErr w:type="gramStart"/>
      <w:r>
        <w:rPr>
          <w:color w:val="000000"/>
        </w:rPr>
        <w:t>typu</w:t>
      </w:r>
      <w:proofErr w:type="gramEnd"/>
      <w:r>
        <w:rPr>
          <w:color w:val="000000"/>
        </w:rPr>
        <w:t xml:space="preserve">. Medián věku </w:t>
      </w:r>
      <w:r w:rsidR="0041663B">
        <w:rPr>
          <w:color w:val="000000"/>
        </w:rPr>
        <w:t xml:space="preserve">při zařazení do studie </w:t>
      </w:r>
      <w:r>
        <w:rPr>
          <w:color w:val="000000"/>
        </w:rPr>
        <w:t>byl 6,7 měsíce (rozmezí: 3,3 – 6,9 měsíce) a medián doby od nástupu příznaků do první dávky byl 4,0 měsíce (rozmezí: 2,0 – 5,8 měsíce).</w:t>
      </w:r>
    </w:p>
    <w:p w14:paraId="06730C5C" w14:textId="77777777" w:rsidR="003A3B0C" w:rsidRDefault="003A3B0C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5D" w14:textId="77777777" w:rsidR="00F13A4E" w:rsidRDefault="00F13A4E" w:rsidP="00F13A4E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13A4E">
        <w:rPr>
          <w:color w:val="000000"/>
        </w:rPr>
        <w:t xml:space="preserve">Terapeutickou dávku </w:t>
      </w:r>
      <w:r w:rsidR="00B966EF">
        <w:rPr>
          <w:color w:val="000000"/>
        </w:rPr>
        <w:t xml:space="preserve">přípravku </w:t>
      </w:r>
      <w:r w:rsidRPr="00F13A4E">
        <w:rPr>
          <w:color w:val="000000"/>
        </w:rPr>
        <w:t>Evrysdi (zvolenou pro část 2) užívalo celkem 17 pacientů.</w:t>
      </w:r>
      <w:r>
        <w:rPr>
          <w:color w:val="000000"/>
        </w:rPr>
        <w:t xml:space="preserve"> </w:t>
      </w:r>
      <w:r w:rsidRPr="00F13A4E">
        <w:rPr>
          <w:color w:val="000000"/>
        </w:rPr>
        <w:t>Po 12 měsících léčby dokázalo sedět bez pomoci po dobu nejméně 5 sekund (položka 22 BSID-III) 41 % (7/17) </w:t>
      </w:r>
      <w:r w:rsidR="005C5A45">
        <w:rPr>
          <w:color w:val="000000"/>
        </w:rPr>
        <w:t xml:space="preserve">těchto </w:t>
      </w:r>
      <w:r w:rsidRPr="00F13A4E">
        <w:rPr>
          <w:color w:val="000000"/>
        </w:rPr>
        <w:t>pacientů.</w:t>
      </w:r>
      <w:r>
        <w:rPr>
          <w:color w:val="000000"/>
        </w:rPr>
        <w:t xml:space="preserve"> </w:t>
      </w:r>
      <w:r w:rsidRPr="00F13A4E">
        <w:rPr>
          <w:color w:val="000000"/>
        </w:rPr>
        <w:t xml:space="preserve">Po 24 měsících léčby terapeutickou dávkou dokázali sedět bez pomoci po dobu nejméně </w:t>
      </w:r>
      <w:proofErr w:type="gramStart"/>
      <w:r w:rsidRPr="00F13A4E">
        <w:rPr>
          <w:color w:val="000000"/>
        </w:rPr>
        <w:t>5 sekund</w:t>
      </w:r>
      <w:proofErr w:type="gramEnd"/>
      <w:r w:rsidRPr="00F13A4E">
        <w:rPr>
          <w:color w:val="000000"/>
        </w:rPr>
        <w:t xml:space="preserve"> další 3 pacienti; </w:t>
      </w:r>
      <w:r w:rsidR="006804EE">
        <w:rPr>
          <w:color w:val="000000"/>
        </w:rPr>
        <w:t xml:space="preserve">tohoto </w:t>
      </w:r>
      <w:r w:rsidRPr="00F13A4E">
        <w:rPr>
          <w:color w:val="000000"/>
        </w:rPr>
        <w:t>motorického mezníku tak dosáhlo celkem 10 pacientů (59 %).</w:t>
      </w:r>
    </w:p>
    <w:p w14:paraId="06730C5E" w14:textId="77777777" w:rsidR="00F13A4E" w:rsidRPr="00F13A4E" w:rsidRDefault="00F13A4E" w:rsidP="00F13A4E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5F" w14:textId="77777777" w:rsidR="003A3B0C" w:rsidRDefault="00F13A4E" w:rsidP="00F13A4E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13A4E">
        <w:rPr>
          <w:color w:val="000000"/>
        </w:rPr>
        <w:t>Po 12 měsících léčby přežilo bez příhody (bez trvalé ventilace) a dosáhlo věku nejméně 15 měsíců 90 % (19/21) pacientů.</w:t>
      </w:r>
      <w:r>
        <w:rPr>
          <w:color w:val="000000"/>
        </w:rPr>
        <w:t xml:space="preserve"> </w:t>
      </w:r>
      <w:r w:rsidRPr="00F13A4E">
        <w:rPr>
          <w:color w:val="000000"/>
        </w:rPr>
        <w:t>Po nejméně 24 měsících léčby přežilo bez příhody a dosáhlo věku nejméně 28 měsíců (medián 32 měsíců; rozmezí od 28 do 45 měsíců) 81 % (17/21) pacientů, viz obrázek 1.</w:t>
      </w:r>
      <w:r>
        <w:rPr>
          <w:color w:val="000000"/>
        </w:rPr>
        <w:t xml:space="preserve"> </w:t>
      </w:r>
      <w:r w:rsidRPr="00F13A4E">
        <w:rPr>
          <w:color w:val="000000"/>
        </w:rPr>
        <w:t>Během léčby zemřeli 3 pacienti a 1 pacient zemřel 3</w:t>
      </w:r>
      <w:proofErr w:type="gramStart"/>
      <w:r w:rsidRPr="00F13A4E">
        <w:rPr>
          <w:color w:val="000000"/>
        </w:rPr>
        <w:t>,5</w:t>
      </w:r>
      <w:proofErr w:type="gramEnd"/>
      <w:r w:rsidRPr="00F13A4E">
        <w:rPr>
          <w:color w:val="000000"/>
        </w:rPr>
        <w:t> měsíce po předčasném ukončení léčby.</w:t>
      </w:r>
    </w:p>
    <w:p w14:paraId="06730C60" w14:textId="77777777" w:rsidR="001263D0" w:rsidRDefault="001263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color w:val="000000"/>
        </w:rPr>
      </w:pPr>
    </w:p>
    <w:p w14:paraId="06730C61" w14:textId="77777777" w:rsidR="001263D0" w:rsidRDefault="00835E4A">
      <w:pPr>
        <w:rPr>
          <w:i/>
        </w:rPr>
      </w:pPr>
      <w:r>
        <w:rPr>
          <w:i/>
        </w:rPr>
        <w:t>SMA s pozdějším nástupem</w:t>
      </w:r>
    </w:p>
    <w:p w14:paraId="06730C62" w14:textId="77777777" w:rsidR="001263D0" w:rsidRDefault="001263D0">
      <w:pPr>
        <w:jc w:val="both"/>
      </w:pPr>
    </w:p>
    <w:p w14:paraId="06730C63" w14:textId="580A0E05" w:rsidR="001263D0" w:rsidRDefault="00835E4A">
      <w:r>
        <w:t xml:space="preserve">Studie BP39055 (SUNFISH) </w:t>
      </w:r>
      <w:r w:rsidR="00BB4197">
        <w:t xml:space="preserve">je </w:t>
      </w:r>
      <w:r>
        <w:t>multicentrická studie se 2 částmi k hodnocení účinnosti, bezpečnosti, farmakokinetiky a farmakodynamiky přípravku Evrysdi v léčbě pacientů s SMA 2. </w:t>
      </w:r>
      <w:proofErr w:type="gramStart"/>
      <w:r>
        <w:t>typu</w:t>
      </w:r>
      <w:proofErr w:type="gramEnd"/>
      <w:r>
        <w:t xml:space="preserve"> nebo 3. </w:t>
      </w:r>
      <w:proofErr w:type="gramStart"/>
      <w:r>
        <w:t>typu</w:t>
      </w:r>
      <w:proofErr w:type="gramEnd"/>
      <w:r>
        <w:t xml:space="preserve"> od 2 do 25 let. Část </w:t>
      </w:r>
      <w:proofErr w:type="gramStart"/>
      <w:r>
        <w:t>1</w:t>
      </w:r>
      <w:proofErr w:type="gramEnd"/>
      <w:r>
        <w:t xml:space="preserve"> byla určena ke stanovení dávky a část 2 byla randomizovaná, dvojitě zaslepená, placebem kontrolovaná konfirmační část. Pacienti z části </w:t>
      </w:r>
      <w:proofErr w:type="gramStart"/>
      <w:r>
        <w:t>1</w:t>
      </w:r>
      <w:proofErr w:type="gramEnd"/>
      <w:r>
        <w:t xml:space="preserve"> se neúčastnili části 2.</w:t>
      </w:r>
    </w:p>
    <w:p w14:paraId="06730C64" w14:textId="77777777" w:rsidR="001263D0" w:rsidRDefault="001263D0">
      <w:pPr>
        <w:jc w:val="both"/>
      </w:pPr>
    </w:p>
    <w:p w14:paraId="06730C65" w14:textId="14C8AD30" w:rsidR="001263D0" w:rsidRDefault="00835E4A">
      <w:pPr>
        <w:rPr>
          <w:i/>
        </w:rPr>
      </w:pPr>
      <w:r>
        <w:t>Primárním cílovým parametrem byla změna skóre motorické škály Motor Function Measure-32 (MFM32) po 12 měsících oproti výchozí hodnotě.</w:t>
      </w:r>
      <w:r w:rsidR="00F13A4E">
        <w:t xml:space="preserve"> Skóre MFM32 dokáže zhodnotit širokou škálu motorických funkcí u nejrůznějších pacientů s SMA.</w:t>
      </w:r>
      <w:r>
        <w:t xml:space="preserve"> Celkové skóre MFM32 se vyjadřuje jako procento (rozmezí: </w:t>
      </w:r>
      <w:proofErr w:type="gramStart"/>
      <w:r>
        <w:t>0</w:t>
      </w:r>
      <w:proofErr w:type="gramEnd"/>
      <w:r>
        <w:t> – 100) maximálního možného skóre; vyšší skóre přitom vyjadřuje lepší motorické funkce.</w:t>
      </w:r>
    </w:p>
    <w:p w14:paraId="06730C66" w14:textId="77777777" w:rsidR="001263D0" w:rsidRDefault="001263D0">
      <w:pPr>
        <w:jc w:val="both"/>
      </w:pPr>
    </w:p>
    <w:p w14:paraId="06730C67" w14:textId="77777777" w:rsidR="001263D0" w:rsidRDefault="00835E4A">
      <w:pPr>
        <w:rPr>
          <w:i/>
          <w:u w:val="single"/>
        </w:rPr>
      </w:pPr>
      <w:r>
        <w:rPr>
          <w:i/>
          <w:u w:val="single"/>
        </w:rPr>
        <w:t>Studie SUNFISH část 2</w:t>
      </w:r>
    </w:p>
    <w:p w14:paraId="06730C68" w14:textId="77777777" w:rsidR="001263D0" w:rsidRDefault="001263D0">
      <w:pPr>
        <w:rPr>
          <w:i/>
          <w:u w:val="single"/>
        </w:rPr>
      </w:pPr>
    </w:p>
    <w:p w14:paraId="06730C69" w14:textId="71A8B5F8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>
        <w:rPr>
          <w:color w:val="000000"/>
        </w:rPr>
        <w:t xml:space="preserve">Studie SUNFISH část 2 </w:t>
      </w:r>
      <w:r w:rsidR="0035374A">
        <w:rPr>
          <w:color w:val="000000"/>
        </w:rPr>
        <w:t xml:space="preserve">je </w:t>
      </w:r>
      <w:r>
        <w:rPr>
          <w:color w:val="000000"/>
        </w:rPr>
        <w:t>randomizovaná, dvojitě zaslepená, placebem kontrolovaná část studie SUNFISH se 180 nechodícími pacienty s SMA 2. </w:t>
      </w:r>
      <w:proofErr w:type="gramStart"/>
      <w:r>
        <w:rPr>
          <w:color w:val="000000"/>
        </w:rPr>
        <w:t>typu</w:t>
      </w:r>
      <w:proofErr w:type="gramEnd"/>
      <w:r>
        <w:rPr>
          <w:color w:val="000000"/>
        </w:rPr>
        <w:t xml:space="preserve"> (71 %) nebo 3. typu (29 %). </w:t>
      </w:r>
      <w:r w:rsidRPr="00344835">
        <w:rPr>
          <w:color w:val="000000"/>
          <w:lang w:val="pt-BR"/>
        </w:rPr>
        <w:t xml:space="preserve">Pacienti byli randomizováni v poměru 2 : 1 do ramena s terapeutickou dávkou přípravku Evrysdi (viz bod 4.2) a do ramena s placebem. Randomizace byla stratifikována podle věkové skupiny (2 – 5, 6 – 11, 12 – 17, 18 – 25 let).  </w:t>
      </w:r>
    </w:p>
    <w:p w14:paraId="06730C6A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6730C6B" w14:textId="051C8BC2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344835">
        <w:rPr>
          <w:color w:val="000000"/>
          <w:lang w:val="pt-BR"/>
        </w:rPr>
        <w:t>Medián věku pacientů při zahájení léčby byl 9,0 </w:t>
      </w:r>
      <w:r w:rsidR="0041663B">
        <w:rPr>
          <w:color w:val="000000"/>
          <w:lang w:val="pt-BR"/>
        </w:rPr>
        <w:t>let</w:t>
      </w:r>
      <w:r w:rsidRPr="00344835">
        <w:rPr>
          <w:color w:val="000000"/>
          <w:lang w:val="pt-BR"/>
        </w:rPr>
        <w:t xml:space="preserve"> (rozmezí: 2 – 25 let), medián doby od nástupu počátečních příznaků </w:t>
      </w:r>
      <w:r w:rsidR="0041663B">
        <w:rPr>
          <w:color w:val="000000"/>
          <w:lang w:val="pt-BR"/>
        </w:rPr>
        <w:t xml:space="preserve">SMA </w:t>
      </w:r>
      <w:r w:rsidRPr="00344835">
        <w:rPr>
          <w:color w:val="000000"/>
          <w:lang w:val="pt-BR"/>
        </w:rPr>
        <w:t>do první dávky byl 102,6 měsíce (rozmezí: 1 – 275 měsíců).</w:t>
      </w:r>
      <w:r w:rsidR="00D65CE1" w:rsidRPr="00344835">
        <w:rPr>
          <w:color w:val="000000"/>
          <w:lang w:val="pt-BR"/>
        </w:rPr>
        <w:t xml:space="preserve"> </w:t>
      </w:r>
      <w:r w:rsidR="00DA6B1B" w:rsidRPr="00344835">
        <w:rPr>
          <w:color w:val="000000"/>
          <w:lang w:val="pt-BR"/>
        </w:rPr>
        <w:t>Při zařazení do studie bylo celkem 30 % pacientů ve věku od 2 do 5 let, 32 % bylo ve věku od 6 do 11 let, 26 % bylo ve věku od 12 do 17 let a 12 % bylo ve věku od 18 do 25 let.</w:t>
      </w:r>
      <w:r w:rsidRPr="00344835">
        <w:rPr>
          <w:color w:val="000000"/>
          <w:lang w:val="pt-BR"/>
        </w:rPr>
        <w:t xml:space="preserve"> Ze 180 pacientů zařazených do studie bylo 51 % ženského pohlaví, 67 % bělochů a 19 % Asiatů. Výchozí skoliózu mělo 67 % pacientů (32 % pacientů mělo těžkou skoliózu). Pacienti měli </w:t>
      </w:r>
      <w:r w:rsidR="0041663B">
        <w:rPr>
          <w:color w:val="000000"/>
          <w:lang w:val="pt-BR"/>
        </w:rPr>
        <w:t>průměrné</w:t>
      </w:r>
      <w:r w:rsidRPr="00344835">
        <w:rPr>
          <w:color w:val="000000"/>
          <w:lang w:val="pt-BR"/>
        </w:rPr>
        <w:t xml:space="preserve"> výchozí skóre MFM32 = 46,1 a skóre Revised Upper Limb Module (RULM) = 20,1. </w:t>
      </w:r>
      <w:r w:rsidR="00DA6B1B" w:rsidRPr="00344835">
        <w:rPr>
          <w:color w:val="000000"/>
          <w:lang w:val="pt-BR"/>
        </w:rPr>
        <w:t>V</w:t>
      </w:r>
      <w:r w:rsidRPr="00344835">
        <w:rPr>
          <w:color w:val="000000"/>
          <w:lang w:val="pt-BR"/>
        </w:rPr>
        <w:t>ýchozí demografické charakteristiky byly mezi ramenem s přípravkem Evrysdi a ramenem s placebem vyváženy s výjimkou skolióz</w:t>
      </w:r>
      <w:r w:rsidR="00DA6B1B" w:rsidRPr="00344835">
        <w:rPr>
          <w:color w:val="000000"/>
          <w:lang w:val="pt-BR"/>
        </w:rPr>
        <w:t>y</w:t>
      </w:r>
      <w:r w:rsidRPr="00344835">
        <w:rPr>
          <w:color w:val="000000"/>
          <w:lang w:val="pt-BR"/>
        </w:rPr>
        <w:t xml:space="preserve"> (63 % pacientů v rameni s přípravkem Evrysdi a 73 % pacientů v rameni s placebem).  </w:t>
      </w:r>
    </w:p>
    <w:p w14:paraId="06730C6C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6730C6D" w14:textId="332A337F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344835">
        <w:rPr>
          <w:color w:val="000000"/>
          <w:lang w:val="pt-BR"/>
        </w:rPr>
        <w:t xml:space="preserve">Primární analýza výsledků studie SUNFISH část 2 pro změnu celkového skóre MFM32 po 12 měsících oproti výchozí hodnotě prokázala klinicky </w:t>
      </w:r>
      <w:r w:rsidR="0041663B">
        <w:rPr>
          <w:color w:val="000000"/>
          <w:lang w:val="pt-BR"/>
        </w:rPr>
        <w:t>významný</w:t>
      </w:r>
      <w:r w:rsidRPr="00344835">
        <w:rPr>
          <w:color w:val="000000"/>
          <w:lang w:val="pt-BR"/>
        </w:rPr>
        <w:t xml:space="preserve"> a statisticky významný rozdíl mezi pacienty v rameni s přípravkem Evrysdi a v rameni s placebem. Výsledky primární analýzy a hlavní sekundární cílové parametry uvádí tabulka </w:t>
      </w:r>
      <w:r w:rsidR="00AC190A" w:rsidRPr="00344835">
        <w:rPr>
          <w:color w:val="000000"/>
          <w:lang w:val="pt-BR"/>
        </w:rPr>
        <w:t>4</w:t>
      </w:r>
      <w:r w:rsidRPr="00344835">
        <w:rPr>
          <w:color w:val="000000"/>
          <w:lang w:val="pt-BR"/>
        </w:rPr>
        <w:t xml:space="preserve">, obrázek 3 a obrázek 4.  </w:t>
      </w:r>
    </w:p>
    <w:p w14:paraId="06730C6E" w14:textId="77777777" w:rsidR="001263D0" w:rsidRPr="00344835" w:rsidRDefault="001263D0" w:rsidP="00960A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6730C6F" w14:textId="75065471" w:rsidR="001263D0" w:rsidRPr="00344835" w:rsidRDefault="00835E4A" w:rsidP="00960A9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  <w:color w:val="000000"/>
          <w:lang w:val="pt-BR"/>
        </w:rPr>
      </w:pPr>
      <w:r w:rsidRPr="00344835">
        <w:rPr>
          <w:b/>
          <w:color w:val="000000"/>
          <w:lang w:val="pt-BR"/>
        </w:rPr>
        <w:lastRenderedPageBreak/>
        <w:t>Tabulka </w:t>
      </w:r>
      <w:r w:rsidR="00A64976" w:rsidRPr="00344835">
        <w:rPr>
          <w:b/>
          <w:color w:val="000000"/>
          <w:lang w:val="pt-BR"/>
        </w:rPr>
        <w:t>4</w:t>
      </w:r>
      <w:r w:rsidRPr="00344835">
        <w:rPr>
          <w:b/>
          <w:color w:val="000000"/>
          <w:lang w:val="pt-BR"/>
        </w:rPr>
        <w:t xml:space="preserve">. </w:t>
      </w:r>
      <w:r w:rsidRPr="00344835">
        <w:rPr>
          <w:b/>
          <w:color w:val="000000"/>
          <w:lang w:val="pt-BR"/>
        </w:rPr>
        <w:tab/>
        <w:t xml:space="preserve">Souhrn parametrů účinnosti u pacientů s SMA s pozdějším nástupem po 12 měsících léčby (studie SUNFISH část 2) </w:t>
      </w:r>
    </w:p>
    <w:p w14:paraId="06730C70" w14:textId="77777777" w:rsidR="00A83511" w:rsidRPr="00344835" w:rsidRDefault="00A83511" w:rsidP="00960A95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  <w:color w:val="000000"/>
          <w:lang w:val="pt-BR"/>
        </w:rPr>
      </w:pPr>
    </w:p>
    <w:tbl>
      <w:tblPr>
        <w:tblStyle w:val="a4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5"/>
        <w:gridCol w:w="1560"/>
        <w:gridCol w:w="1276"/>
      </w:tblGrid>
      <w:tr w:rsidR="001263D0" w14:paraId="06730C76" w14:textId="77777777">
        <w:tc>
          <w:tcPr>
            <w:tcW w:w="62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71" w14:textId="77777777" w:rsidR="001263D0" w:rsidRDefault="00835E4A">
            <w:pPr>
              <w:keepNext/>
              <w:spacing w:before="48" w:after="48"/>
              <w:rPr>
                <w:b/>
              </w:rPr>
            </w:pPr>
            <w:r>
              <w:rPr>
                <w:b/>
              </w:rPr>
              <w:t xml:space="preserve">Cílový parametr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6730C72" w14:textId="77777777" w:rsidR="001263D0" w:rsidRDefault="00835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Evrysdi</w:t>
            </w:r>
          </w:p>
          <w:p w14:paraId="06730C73" w14:textId="77777777" w:rsidR="001263D0" w:rsidRDefault="00835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(n = 120)</w:t>
            </w:r>
          </w:p>
        </w:tc>
        <w:tc>
          <w:tcPr>
            <w:tcW w:w="1276" w:type="dxa"/>
            <w:vAlign w:val="bottom"/>
          </w:tcPr>
          <w:p w14:paraId="06730C74" w14:textId="77777777" w:rsidR="001263D0" w:rsidRDefault="00835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Placebo</w:t>
            </w:r>
          </w:p>
          <w:p w14:paraId="06730C75" w14:textId="77777777" w:rsidR="001263D0" w:rsidRDefault="00835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(n = 60)</w:t>
            </w:r>
          </w:p>
        </w:tc>
      </w:tr>
      <w:tr w:rsidR="001263D0" w14:paraId="06730C7A" w14:textId="77777777">
        <w:tc>
          <w:tcPr>
            <w:tcW w:w="62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77" w14:textId="77777777" w:rsidR="001263D0" w:rsidRDefault="00835E4A">
            <w:pPr>
              <w:keepNext/>
            </w:pPr>
            <w:r>
              <w:rPr>
                <w:b/>
              </w:rPr>
              <w:t>Primární cílový parametr: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78" w14:textId="77777777" w:rsidR="001263D0" w:rsidRDefault="001263D0">
            <w:pPr>
              <w:keepNext/>
              <w:jc w:val="center"/>
            </w:pPr>
          </w:p>
        </w:tc>
        <w:tc>
          <w:tcPr>
            <w:tcW w:w="1276" w:type="dxa"/>
            <w:vAlign w:val="center"/>
          </w:tcPr>
          <w:p w14:paraId="06730C79" w14:textId="77777777" w:rsidR="001263D0" w:rsidRDefault="001263D0">
            <w:pPr>
              <w:keepNext/>
              <w:jc w:val="center"/>
            </w:pPr>
          </w:p>
        </w:tc>
      </w:tr>
      <w:tr w:rsidR="001263D0" w14:paraId="06730C81" w14:textId="77777777">
        <w:tc>
          <w:tcPr>
            <w:tcW w:w="62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7B" w14:textId="77777777" w:rsidR="001263D0" w:rsidRDefault="00835E4A">
            <w:pPr>
              <w:keepNext/>
            </w:pPr>
            <w:r>
              <w:t>změna oproti výchozí hodnotě celkového skóre MFM32</w:t>
            </w:r>
            <w:r>
              <w:rPr>
                <w:vertAlign w:val="superscript"/>
              </w:rPr>
              <w:t>1</w:t>
            </w:r>
            <w:r>
              <w:t xml:space="preserve"> po 12 měsících</w:t>
            </w:r>
          </w:p>
          <w:p w14:paraId="06730C7C" w14:textId="0EE273EE" w:rsidR="001263D0" w:rsidRDefault="0041663B" w:rsidP="008133F9">
            <w:pPr>
              <w:keepNext/>
            </w:pPr>
            <w:r>
              <w:t>průměrná</w:t>
            </w:r>
            <w:r w:rsidR="00835E4A">
              <w:t xml:space="preserve"> hodnota (LS) (95% CI)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7D" w14:textId="77777777" w:rsidR="001263D0" w:rsidRDefault="00835E4A">
            <w:pPr>
              <w:keepNext/>
              <w:jc w:val="center"/>
            </w:pPr>
            <w:r>
              <w:t xml:space="preserve">1,36 </w:t>
            </w:r>
          </w:p>
          <w:p w14:paraId="06730C7E" w14:textId="20863520" w:rsidR="001263D0" w:rsidRDefault="00835E4A" w:rsidP="008133F9">
            <w:pPr>
              <w:keepNext/>
              <w:jc w:val="center"/>
            </w:pPr>
            <w:r>
              <w:t>(0,61</w:t>
            </w:r>
            <w:r w:rsidR="0041663B">
              <w:t>;</w:t>
            </w:r>
            <w:r>
              <w:t> 2,11)</w:t>
            </w:r>
          </w:p>
        </w:tc>
        <w:tc>
          <w:tcPr>
            <w:tcW w:w="1276" w:type="dxa"/>
            <w:vAlign w:val="center"/>
          </w:tcPr>
          <w:p w14:paraId="06730C7F" w14:textId="77777777" w:rsidR="001263D0" w:rsidRDefault="00835E4A">
            <w:pPr>
              <w:keepNext/>
              <w:jc w:val="center"/>
            </w:pPr>
            <w:r>
              <w:t xml:space="preserve">-0,19 </w:t>
            </w:r>
          </w:p>
          <w:p w14:paraId="06730C80" w14:textId="57B0C0ED" w:rsidR="001263D0" w:rsidRDefault="00835E4A" w:rsidP="008133F9">
            <w:pPr>
              <w:keepNext/>
              <w:jc w:val="center"/>
              <w:rPr>
                <w:b/>
              </w:rPr>
            </w:pPr>
            <w:r>
              <w:t>(-1,22</w:t>
            </w:r>
            <w:r w:rsidR="0041663B">
              <w:t>;</w:t>
            </w:r>
            <w:r>
              <w:t> 0,84)</w:t>
            </w:r>
          </w:p>
        </w:tc>
      </w:tr>
      <w:tr w:rsidR="001263D0" w14:paraId="06730C88" w14:textId="77777777">
        <w:tc>
          <w:tcPr>
            <w:tcW w:w="62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82" w14:textId="77777777" w:rsidR="001263D0" w:rsidRDefault="00835E4A">
            <w:pPr>
              <w:keepNext/>
              <w:ind w:left="432"/>
            </w:pPr>
            <w:r>
              <w:t xml:space="preserve">rozdíl oproti placebu </w:t>
            </w:r>
          </w:p>
          <w:p w14:paraId="06730C83" w14:textId="77777777" w:rsidR="001263D0" w:rsidRDefault="00835E4A">
            <w:pPr>
              <w:keepNext/>
              <w:ind w:left="432"/>
            </w:pPr>
            <w:r>
              <w:t>odhad (95% CI)</w:t>
            </w:r>
          </w:p>
          <w:p w14:paraId="06730C84" w14:textId="77777777" w:rsidR="001263D0" w:rsidRDefault="00835E4A">
            <w:pPr>
              <w:keepNext/>
              <w:ind w:left="432"/>
              <w:rPr>
                <w:vertAlign w:val="superscript"/>
              </w:rPr>
            </w:pPr>
            <w:r>
              <w:t>hodnota p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85" w14:textId="77777777" w:rsidR="001263D0" w:rsidRDefault="00835E4A">
            <w:pPr>
              <w:keepNext/>
              <w:jc w:val="center"/>
            </w:pPr>
            <w:r>
              <w:t xml:space="preserve">1,55 </w:t>
            </w:r>
          </w:p>
          <w:p w14:paraId="06730C86" w14:textId="32E615B2" w:rsidR="001263D0" w:rsidRDefault="00835E4A">
            <w:pPr>
              <w:keepNext/>
              <w:jc w:val="center"/>
            </w:pPr>
            <w:r>
              <w:t>(0,30</w:t>
            </w:r>
            <w:r w:rsidR="0041663B">
              <w:t>;</w:t>
            </w:r>
            <w:r>
              <w:t> 2,81)</w:t>
            </w:r>
          </w:p>
          <w:p w14:paraId="06730C87" w14:textId="77777777" w:rsidR="001263D0" w:rsidRDefault="00835E4A">
            <w:pPr>
              <w:keepNext/>
              <w:jc w:val="center"/>
              <w:rPr>
                <w:b/>
              </w:rPr>
            </w:pPr>
            <w:r>
              <w:t>0,0156</w:t>
            </w:r>
          </w:p>
        </w:tc>
      </w:tr>
      <w:tr w:rsidR="001263D0" w14:paraId="06730C8B" w14:textId="77777777">
        <w:tc>
          <w:tcPr>
            <w:tcW w:w="62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89" w14:textId="77777777" w:rsidR="001263D0" w:rsidRDefault="00835E4A">
            <w:pPr>
              <w:keepNext/>
            </w:pPr>
            <w:r>
              <w:rPr>
                <w:b/>
              </w:rPr>
              <w:t>Sekundární cílové parametry: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8A" w14:textId="77777777" w:rsidR="001263D0" w:rsidRDefault="001263D0">
            <w:pPr>
              <w:keepNext/>
              <w:jc w:val="center"/>
            </w:pPr>
          </w:p>
        </w:tc>
      </w:tr>
      <w:tr w:rsidR="001263D0" w14:paraId="06730C91" w14:textId="77777777">
        <w:tc>
          <w:tcPr>
            <w:tcW w:w="62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730C8C" w14:textId="77777777" w:rsidR="001263D0" w:rsidRDefault="0052486A">
            <w:pPr>
              <w:keepNext/>
            </w:pPr>
            <w:r>
              <w:t xml:space="preserve">podíl </w:t>
            </w:r>
            <w:r w:rsidR="00835E4A">
              <w:t>pacientů se změnou oproti výchozí hodnotě celkového skóre MFM32</w:t>
            </w:r>
            <w:r w:rsidR="00835E4A">
              <w:rPr>
                <w:vertAlign w:val="superscript"/>
              </w:rPr>
              <w:t>1</w:t>
            </w:r>
            <w:r w:rsidR="00835E4A">
              <w:t xml:space="preserve"> nejméně 3 po 12 měsících (95% CI)</w:t>
            </w:r>
            <w:r w:rsidR="00835E4A">
              <w:rPr>
                <w:vertAlign w:val="superscript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8D" w14:textId="77777777" w:rsidR="001263D0" w:rsidRDefault="00835E4A">
            <w:pPr>
              <w:keepNext/>
              <w:jc w:val="center"/>
            </w:pPr>
            <w:r>
              <w:t xml:space="preserve"> 38,3 % </w:t>
            </w:r>
          </w:p>
          <w:p w14:paraId="06730C8E" w14:textId="3FDB2016" w:rsidR="001263D0" w:rsidRDefault="00835E4A" w:rsidP="008133F9">
            <w:pPr>
              <w:keepNext/>
              <w:jc w:val="center"/>
            </w:pPr>
            <w:r>
              <w:t>(28,9</w:t>
            </w:r>
            <w:r w:rsidR="0041663B">
              <w:t>;</w:t>
            </w:r>
            <w:r>
              <w:t> 47,6)</w:t>
            </w:r>
          </w:p>
        </w:tc>
        <w:tc>
          <w:tcPr>
            <w:tcW w:w="1276" w:type="dxa"/>
            <w:vAlign w:val="center"/>
          </w:tcPr>
          <w:p w14:paraId="06730C8F" w14:textId="77777777" w:rsidR="001263D0" w:rsidRDefault="00835E4A">
            <w:pPr>
              <w:keepNext/>
              <w:jc w:val="center"/>
            </w:pPr>
            <w:r>
              <w:t xml:space="preserve">23,7 % </w:t>
            </w:r>
          </w:p>
          <w:p w14:paraId="06730C90" w14:textId="546ABE56" w:rsidR="001263D0" w:rsidRDefault="00835E4A" w:rsidP="008133F9">
            <w:pPr>
              <w:keepNext/>
              <w:jc w:val="center"/>
            </w:pPr>
            <w:r>
              <w:t>(12,0</w:t>
            </w:r>
            <w:r w:rsidR="0041663B">
              <w:t>;</w:t>
            </w:r>
            <w:r>
              <w:t> 35,4)</w:t>
            </w:r>
          </w:p>
        </w:tc>
      </w:tr>
      <w:tr w:rsidR="001263D0" w14:paraId="06730C96" w14:textId="77777777">
        <w:tc>
          <w:tcPr>
            <w:tcW w:w="62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730C92" w14:textId="1E14DAFC" w:rsidR="001263D0" w:rsidRPr="00721B88" w:rsidRDefault="00835E4A">
            <w:pPr>
              <w:keepNext/>
              <w:ind w:left="432"/>
            </w:pPr>
            <w:r w:rsidRPr="00721B88">
              <w:t xml:space="preserve">poměr </w:t>
            </w:r>
            <w:r w:rsidR="00A969EE" w:rsidRPr="00721B88">
              <w:t>šancí</w:t>
            </w:r>
            <w:r w:rsidRPr="00721B88">
              <w:t xml:space="preserve"> pro celkovou odpověď (95% CI)</w:t>
            </w:r>
          </w:p>
          <w:p w14:paraId="06730C93" w14:textId="77777777" w:rsidR="001263D0" w:rsidRDefault="00835E4A">
            <w:pPr>
              <w:keepNext/>
              <w:ind w:left="432"/>
            </w:pPr>
            <w:r>
              <w:t>upravená (neupravená) hodnota p</w:t>
            </w:r>
            <w:r>
              <w:rPr>
                <w:vertAlign w:val="superscript"/>
              </w:rPr>
              <w:t>3,4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94" w14:textId="2121C50C" w:rsidR="001263D0" w:rsidRDefault="00835E4A">
            <w:pPr>
              <w:keepNext/>
              <w:jc w:val="center"/>
            </w:pPr>
            <w:r>
              <w:t>2,35 (1,01</w:t>
            </w:r>
            <w:r w:rsidR="0041663B">
              <w:t>;</w:t>
            </w:r>
            <w:r>
              <w:t> 5,44)</w:t>
            </w:r>
          </w:p>
          <w:p w14:paraId="06730C95" w14:textId="77777777" w:rsidR="001263D0" w:rsidRDefault="00835E4A">
            <w:pPr>
              <w:keepNext/>
              <w:jc w:val="center"/>
            </w:pPr>
            <w:r>
              <w:t>0,0469 (0,0469)</w:t>
            </w:r>
          </w:p>
        </w:tc>
      </w:tr>
      <w:tr w:rsidR="001263D0" w14:paraId="06730C9D" w14:textId="77777777">
        <w:tc>
          <w:tcPr>
            <w:tcW w:w="62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97" w14:textId="77777777" w:rsidR="001263D0" w:rsidRDefault="00835E4A">
            <w:pPr>
              <w:keepNext/>
            </w:pPr>
            <w:r>
              <w:t>změna oproti výchozí hodnotě celkového skóre RULM</w:t>
            </w:r>
            <w:r>
              <w:rPr>
                <w:vertAlign w:val="superscript"/>
              </w:rPr>
              <w:t>5</w:t>
            </w:r>
            <w:r>
              <w:t xml:space="preserve"> po 12 měsících</w:t>
            </w:r>
          </w:p>
          <w:p w14:paraId="06730C98" w14:textId="27912C7C" w:rsidR="001263D0" w:rsidRDefault="00A969EE" w:rsidP="008133F9">
            <w:pPr>
              <w:keepNext/>
            </w:pPr>
            <w:r>
              <w:t>průměrná</w:t>
            </w:r>
            <w:r w:rsidR="00835E4A">
              <w:t xml:space="preserve"> hodnota (LS) (95% CI)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99" w14:textId="77777777" w:rsidR="001263D0" w:rsidRDefault="00835E4A">
            <w:pPr>
              <w:keepNext/>
              <w:jc w:val="center"/>
            </w:pPr>
            <w:r>
              <w:t xml:space="preserve">1,61 </w:t>
            </w:r>
          </w:p>
          <w:p w14:paraId="06730C9A" w14:textId="076463B2" w:rsidR="001263D0" w:rsidRDefault="00835E4A" w:rsidP="008133F9">
            <w:pPr>
              <w:keepNext/>
              <w:jc w:val="center"/>
            </w:pPr>
            <w:r>
              <w:t>(1,00</w:t>
            </w:r>
            <w:r w:rsidR="0041663B">
              <w:t>;</w:t>
            </w:r>
            <w:r>
              <w:t> 2,22)</w:t>
            </w:r>
          </w:p>
        </w:tc>
        <w:tc>
          <w:tcPr>
            <w:tcW w:w="1276" w:type="dxa"/>
            <w:vAlign w:val="center"/>
          </w:tcPr>
          <w:p w14:paraId="06730C9B" w14:textId="77777777" w:rsidR="001263D0" w:rsidRDefault="00835E4A">
            <w:pPr>
              <w:keepNext/>
              <w:jc w:val="center"/>
            </w:pPr>
            <w:r>
              <w:t xml:space="preserve">0,02 </w:t>
            </w:r>
          </w:p>
          <w:p w14:paraId="06730C9C" w14:textId="3151648E" w:rsidR="001263D0" w:rsidRDefault="00835E4A" w:rsidP="008133F9">
            <w:pPr>
              <w:keepNext/>
              <w:jc w:val="center"/>
            </w:pPr>
            <w:r>
              <w:t>(-0,83</w:t>
            </w:r>
            <w:r w:rsidR="0041663B">
              <w:t>;</w:t>
            </w:r>
            <w:r>
              <w:t> 0,87)</w:t>
            </w:r>
          </w:p>
        </w:tc>
      </w:tr>
      <w:tr w:rsidR="001263D0" w14:paraId="06730CA2" w14:textId="77777777">
        <w:trPr>
          <w:trHeight w:val="48"/>
        </w:trPr>
        <w:tc>
          <w:tcPr>
            <w:tcW w:w="62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9E" w14:textId="77777777" w:rsidR="001263D0" w:rsidRDefault="00835E4A">
            <w:pPr>
              <w:keepNext/>
              <w:ind w:left="432"/>
            </w:pPr>
            <w:r>
              <w:t>odhad rozdílu oproti placebu (95% CI)</w:t>
            </w:r>
          </w:p>
          <w:p w14:paraId="06730C9F" w14:textId="77777777" w:rsidR="001263D0" w:rsidRDefault="00835E4A">
            <w:pPr>
              <w:keepNext/>
              <w:spacing w:after="48"/>
              <w:ind w:left="432"/>
            </w:pPr>
            <w:r>
              <w:t>upravená (neupravená) hodnota p</w:t>
            </w:r>
            <w:r>
              <w:rPr>
                <w:vertAlign w:val="superscript"/>
              </w:rPr>
              <w:t>2,4</w:t>
            </w:r>
          </w:p>
        </w:tc>
        <w:tc>
          <w:tcPr>
            <w:tcW w:w="2836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30CA0" w14:textId="1A8B5A9A" w:rsidR="001263D0" w:rsidRDefault="00835E4A">
            <w:pPr>
              <w:keepNext/>
              <w:jc w:val="center"/>
            </w:pPr>
            <w:r>
              <w:t>1,59 (0,55</w:t>
            </w:r>
            <w:r w:rsidR="0041663B">
              <w:t>;</w:t>
            </w:r>
            <w:r>
              <w:t> 2,62)</w:t>
            </w:r>
          </w:p>
          <w:p w14:paraId="06730CA1" w14:textId="77777777" w:rsidR="001263D0" w:rsidRDefault="00835E4A">
            <w:pPr>
              <w:keepNext/>
              <w:spacing w:after="48"/>
              <w:jc w:val="center"/>
            </w:pPr>
            <w:r>
              <w:t>0,0469 (0,0028)</w:t>
            </w:r>
          </w:p>
        </w:tc>
      </w:tr>
    </w:tbl>
    <w:p w14:paraId="06730CA3" w14:textId="77777777" w:rsidR="001263D0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2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LS – </w:t>
      </w:r>
      <w:proofErr w:type="gramStart"/>
      <w:r>
        <w:rPr>
          <w:color w:val="000000"/>
          <w:sz w:val="18"/>
          <w:szCs w:val="18"/>
        </w:rPr>
        <w:t>metoda</w:t>
      </w:r>
      <w:proofErr w:type="gramEnd"/>
      <w:r>
        <w:rPr>
          <w:color w:val="000000"/>
          <w:sz w:val="18"/>
          <w:szCs w:val="18"/>
        </w:rPr>
        <w:t xml:space="preserve"> nejmenších čtverců</w:t>
      </w:r>
      <w:r w:rsidR="002461F4">
        <w:rPr>
          <w:color w:val="000000"/>
          <w:sz w:val="18"/>
          <w:szCs w:val="18"/>
        </w:rPr>
        <w:t>, CI interval spolehlivosti</w:t>
      </w:r>
    </w:p>
    <w:p w14:paraId="06730CA4" w14:textId="1437F212" w:rsidR="001263D0" w:rsidRDefault="00A45229" w:rsidP="00721B8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81" w:hanging="181"/>
        <w:rPr>
          <w:color w:val="000000"/>
          <w:sz w:val="18"/>
          <w:szCs w:val="18"/>
        </w:rPr>
      </w:pPr>
      <w:r w:rsidRPr="00721B88">
        <w:rPr>
          <w:color w:val="000000"/>
          <w:sz w:val="18"/>
          <w:szCs w:val="18"/>
          <w:vertAlign w:val="superscript"/>
        </w:rPr>
        <w:t>1.</w:t>
      </w:r>
      <w:r>
        <w:rPr>
          <w:color w:val="000000"/>
          <w:sz w:val="18"/>
          <w:szCs w:val="18"/>
        </w:rPr>
        <w:tab/>
      </w:r>
      <w:r w:rsidR="00835E4A">
        <w:rPr>
          <w:color w:val="000000"/>
          <w:sz w:val="18"/>
          <w:szCs w:val="18"/>
        </w:rPr>
        <w:t>Na základě pravidla pro chybějící údaje o MFM32 bylo z analýzy vyloučeno 6 pacientů (přípravek Evrysdi: n = 115; placebo: n = 59).</w:t>
      </w:r>
    </w:p>
    <w:p w14:paraId="06730CA5" w14:textId="034E869F" w:rsidR="001263D0" w:rsidRDefault="00A45229" w:rsidP="00721B8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81" w:hanging="181"/>
        <w:rPr>
          <w:color w:val="000000"/>
          <w:sz w:val="18"/>
          <w:szCs w:val="18"/>
        </w:rPr>
      </w:pPr>
      <w:r w:rsidRPr="00721B88">
        <w:rPr>
          <w:color w:val="000000"/>
          <w:sz w:val="18"/>
          <w:szCs w:val="18"/>
          <w:vertAlign w:val="superscript"/>
        </w:rPr>
        <w:t>2.</w:t>
      </w:r>
      <w:r>
        <w:rPr>
          <w:color w:val="000000"/>
          <w:sz w:val="18"/>
          <w:szCs w:val="18"/>
        </w:rPr>
        <w:tab/>
      </w:r>
      <w:r w:rsidR="00835E4A">
        <w:rPr>
          <w:color w:val="000000"/>
          <w:sz w:val="18"/>
          <w:szCs w:val="18"/>
        </w:rPr>
        <w:t>K analýze údajů byla použita metoda opakovaných měření s modelováním smíšených účinků s výchozím celkovým skóre, léčbou, návštěvou, věkovou skupinou, vztahem léčba-návštěva a vztahem výchozí status-návštěva.</w:t>
      </w:r>
    </w:p>
    <w:p w14:paraId="06730CA6" w14:textId="085B12F8" w:rsidR="001263D0" w:rsidRDefault="00A45229" w:rsidP="00721B8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81" w:hanging="181"/>
        <w:rPr>
          <w:color w:val="000000"/>
          <w:sz w:val="18"/>
          <w:szCs w:val="18"/>
        </w:rPr>
      </w:pPr>
      <w:r w:rsidRPr="00721B88">
        <w:rPr>
          <w:color w:val="000000"/>
          <w:sz w:val="18"/>
          <w:szCs w:val="18"/>
          <w:vertAlign w:val="superscript"/>
        </w:rPr>
        <w:t>3.</w:t>
      </w:r>
      <w:r>
        <w:rPr>
          <w:color w:val="000000"/>
          <w:sz w:val="18"/>
          <w:szCs w:val="18"/>
        </w:rPr>
        <w:tab/>
      </w:r>
      <w:r w:rsidR="00835E4A">
        <w:rPr>
          <w:color w:val="000000"/>
          <w:sz w:val="18"/>
          <w:szCs w:val="18"/>
        </w:rPr>
        <w:t xml:space="preserve">K analýze údajů byla použita logistická regrese s výchozím celkovým skóre, léčbou a věkovou skupinou. </w:t>
      </w:r>
    </w:p>
    <w:p w14:paraId="06730CA7" w14:textId="5E9CA067" w:rsidR="001263D0" w:rsidRDefault="00A45229" w:rsidP="00721B8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81" w:hanging="181"/>
        <w:rPr>
          <w:color w:val="000000"/>
          <w:sz w:val="18"/>
          <w:szCs w:val="18"/>
        </w:rPr>
      </w:pPr>
      <w:r w:rsidRPr="00721B88">
        <w:rPr>
          <w:color w:val="000000"/>
          <w:sz w:val="18"/>
          <w:szCs w:val="18"/>
          <w:vertAlign w:val="superscript"/>
        </w:rPr>
        <w:t>4.</w:t>
      </w:r>
      <w:r>
        <w:rPr>
          <w:color w:val="000000"/>
          <w:sz w:val="18"/>
          <w:szCs w:val="18"/>
        </w:rPr>
        <w:tab/>
      </w:r>
      <w:r w:rsidR="00835E4A">
        <w:rPr>
          <w:color w:val="000000"/>
          <w:sz w:val="18"/>
          <w:szCs w:val="18"/>
        </w:rPr>
        <w:t xml:space="preserve">Upravená hodnota p byla dovozena pro cílové parametry zahrnuté do hierarchického testování </w:t>
      </w:r>
      <w:proofErr w:type="gramStart"/>
      <w:r w:rsidR="00835E4A">
        <w:rPr>
          <w:color w:val="000000"/>
          <w:sz w:val="18"/>
          <w:szCs w:val="18"/>
        </w:rPr>
        <w:t>na</w:t>
      </w:r>
      <w:proofErr w:type="gramEnd"/>
      <w:r w:rsidR="00835E4A">
        <w:rPr>
          <w:color w:val="000000"/>
          <w:sz w:val="18"/>
          <w:szCs w:val="18"/>
        </w:rPr>
        <w:t xml:space="preserve"> základě všech hodnot p pro cílové parametry v pořadí hierarchie až do současného cílového parametru.</w:t>
      </w:r>
    </w:p>
    <w:p w14:paraId="06730CA8" w14:textId="3B428B9C" w:rsidR="001263D0" w:rsidRDefault="00A45229" w:rsidP="00721B8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81" w:hanging="181"/>
        <w:rPr>
          <w:color w:val="000000"/>
          <w:sz w:val="18"/>
          <w:szCs w:val="18"/>
        </w:rPr>
      </w:pPr>
      <w:r w:rsidRPr="00721B88">
        <w:rPr>
          <w:color w:val="000000"/>
          <w:sz w:val="18"/>
          <w:szCs w:val="18"/>
          <w:vertAlign w:val="superscript"/>
        </w:rPr>
        <w:t>5.</w:t>
      </w:r>
      <w:r>
        <w:rPr>
          <w:color w:val="000000"/>
          <w:sz w:val="18"/>
          <w:szCs w:val="18"/>
        </w:rPr>
        <w:tab/>
      </w:r>
      <w:r w:rsidR="00835E4A">
        <w:rPr>
          <w:color w:val="000000"/>
          <w:sz w:val="18"/>
          <w:szCs w:val="18"/>
        </w:rPr>
        <w:t>Na základě pravidla pro chybějící údaje o RULM byli z analýzy vyloučeni 3 pacienti (přípravek Evrysdi: n = 119; placebo: n = 58).</w:t>
      </w:r>
    </w:p>
    <w:p w14:paraId="06730CA9" w14:textId="77777777" w:rsidR="001263D0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AA" w14:textId="070E904E" w:rsidR="00A57D84" w:rsidRPr="00A57D84" w:rsidRDefault="002461F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</w:t>
      </w:r>
      <w:r w:rsidRPr="00A57D84">
        <w:rPr>
          <w:color w:val="000000"/>
        </w:rPr>
        <w:t xml:space="preserve"> </w:t>
      </w:r>
      <w:r w:rsidR="00A57D84" w:rsidRPr="00A57D84">
        <w:rPr>
          <w:color w:val="000000"/>
        </w:rPr>
        <w:t xml:space="preserve">dokončení 12měsíční léčby </w:t>
      </w:r>
      <w:r w:rsidR="00F06796">
        <w:rPr>
          <w:color w:val="000000"/>
        </w:rPr>
        <w:t xml:space="preserve">pokračovalo 117 </w:t>
      </w:r>
      <w:r>
        <w:rPr>
          <w:color w:val="000000"/>
        </w:rPr>
        <w:t>pacient</w:t>
      </w:r>
      <w:r w:rsidR="00F06796">
        <w:rPr>
          <w:color w:val="000000"/>
        </w:rPr>
        <w:t>ů</w:t>
      </w:r>
      <w:r>
        <w:rPr>
          <w:color w:val="000000"/>
        </w:rPr>
        <w:t xml:space="preserve"> </w:t>
      </w:r>
      <w:r w:rsidR="00F06796">
        <w:rPr>
          <w:color w:val="000000"/>
        </w:rPr>
        <w:t xml:space="preserve">v </w:t>
      </w:r>
      <w:r>
        <w:rPr>
          <w:color w:val="000000"/>
        </w:rPr>
        <w:t>léčb</w:t>
      </w:r>
      <w:r w:rsidR="00F06796">
        <w:rPr>
          <w:color w:val="000000"/>
        </w:rPr>
        <w:t>ě</w:t>
      </w:r>
      <w:r>
        <w:rPr>
          <w:color w:val="000000"/>
        </w:rPr>
        <w:t xml:space="preserve"> </w:t>
      </w:r>
      <w:r w:rsidR="00A57D84" w:rsidRPr="00A57D84">
        <w:rPr>
          <w:color w:val="000000"/>
        </w:rPr>
        <w:t>příprav</w:t>
      </w:r>
      <w:r>
        <w:rPr>
          <w:color w:val="000000"/>
        </w:rPr>
        <w:t>kem</w:t>
      </w:r>
      <w:r w:rsidR="00A57D84" w:rsidRPr="00A57D84">
        <w:rPr>
          <w:color w:val="000000"/>
        </w:rPr>
        <w:t xml:space="preserve"> Evrysdi.</w:t>
      </w:r>
      <w:r w:rsidR="00A57D84">
        <w:rPr>
          <w:color w:val="000000"/>
        </w:rPr>
        <w:t xml:space="preserve"> </w:t>
      </w:r>
      <w:r w:rsidR="005E0A01">
        <w:rPr>
          <w:color w:val="000000"/>
        </w:rPr>
        <w:t>An</w:t>
      </w:r>
      <w:r w:rsidR="00E27F07">
        <w:rPr>
          <w:color w:val="000000"/>
        </w:rPr>
        <w:t>a</w:t>
      </w:r>
      <w:r w:rsidR="005E0A01">
        <w:rPr>
          <w:color w:val="000000"/>
        </w:rPr>
        <w:t>lýza po 24 měsících léčby ukázala, že u</w:t>
      </w:r>
      <w:r w:rsidR="001931E7">
        <w:rPr>
          <w:color w:val="000000"/>
        </w:rPr>
        <w:t xml:space="preserve"> těchto pacientů </w:t>
      </w:r>
      <w:r w:rsidR="00BD3FB1">
        <w:rPr>
          <w:color w:val="000000"/>
        </w:rPr>
        <w:t xml:space="preserve">léčených </w:t>
      </w:r>
      <w:r w:rsidR="00CC521F">
        <w:rPr>
          <w:color w:val="000000"/>
        </w:rPr>
        <w:t xml:space="preserve">přípravkem Evrysdi </w:t>
      </w:r>
      <w:r w:rsidR="00BD3FB1">
        <w:rPr>
          <w:color w:val="000000"/>
        </w:rPr>
        <w:t xml:space="preserve">po dobu 24 měsíců </w:t>
      </w:r>
      <w:r w:rsidR="001931E7">
        <w:rPr>
          <w:color w:val="000000"/>
        </w:rPr>
        <w:t xml:space="preserve">bylo </w:t>
      </w:r>
      <w:r w:rsidR="005E0A01">
        <w:rPr>
          <w:color w:val="000000"/>
        </w:rPr>
        <w:t xml:space="preserve">celkové </w:t>
      </w:r>
      <w:r w:rsidR="00CF743F">
        <w:rPr>
          <w:color w:val="000000"/>
        </w:rPr>
        <w:t xml:space="preserve">dosažené </w:t>
      </w:r>
      <w:r w:rsidR="001931E7" w:rsidRPr="00A57D84">
        <w:rPr>
          <w:color w:val="000000"/>
        </w:rPr>
        <w:t>zlepšení motorických funkcí</w:t>
      </w:r>
      <w:r w:rsidR="001931E7">
        <w:rPr>
          <w:color w:val="000000"/>
        </w:rPr>
        <w:t xml:space="preserve"> zachováno v období </w:t>
      </w:r>
      <w:r w:rsidR="001931E7" w:rsidRPr="00A57D84">
        <w:rPr>
          <w:color w:val="000000"/>
        </w:rPr>
        <w:t xml:space="preserve">mezi </w:t>
      </w:r>
      <w:r w:rsidR="00A969EE">
        <w:rPr>
          <w:color w:val="000000"/>
        </w:rPr>
        <w:t xml:space="preserve">12. </w:t>
      </w:r>
      <w:proofErr w:type="gramStart"/>
      <w:r w:rsidR="001931E7" w:rsidRPr="00A57D84">
        <w:rPr>
          <w:color w:val="000000"/>
        </w:rPr>
        <w:t>měsícem</w:t>
      </w:r>
      <w:proofErr w:type="gramEnd"/>
      <w:r w:rsidR="001931E7" w:rsidRPr="00A57D84">
        <w:rPr>
          <w:color w:val="000000"/>
        </w:rPr>
        <w:t xml:space="preserve"> a </w:t>
      </w:r>
      <w:r w:rsidR="00A969EE">
        <w:rPr>
          <w:color w:val="000000"/>
        </w:rPr>
        <w:t xml:space="preserve">24. </w:t>
      </w:r>
      <w:proofErr w:type="gramStart"/>
      <w:r w:rsidR="001931E7" w:rsidRPr="00A57D84">
        <w:rPr>
          <w:color w:val="000000"/>
        </w:rPr>
        <w:t>měsícem</w:t>
      </w:r>
      <w:proofErr w:type="gramEnd"/>
      <w:r w:rsidR="001931E7">
        <w:rPr>
          <w:color w:val="000000"/>
        </w:rPr>
        <w:t xml:space="preserve">. </w:t>
      </w:r>
      <w:r w:rsidR="00A969EE">
        <w:rPr>
          <w:color w:val="000000"/>
        </w:rPr>
        <w:t>Průměrná</w:t>
      </w:r>
      <w:r w:rsidR="00A57D84" w:rsidRPr="00A57D84">
        <w:rPr>
          <w:color w:val="000000"/>
        </w:rPr>
        <w:t xml:space="preserve"> změna oproti výchozí hodnotě skóre MFM32 byla 1</w:t>
      </w:r>
      <w:proofErr w:type="gramStart"/>
      <w:r w:rsidR="00A57D84" w:rsidRPr="00A57D84">
        <w:rPr>
          <w:color w:val="000000"/>
        </w:rPr>
        <w:t>,83</w:t>
      </w:r>
      <w:proofErr w:type="gramEnd"/>
      <w:r w:rsidR="00A57D84" w:rsidRPr="00A57D84">
        <w:rPr>
          <w:color w:val="000000"/>
        </w:rPr>
        <w:t xml:space="preserve"> (95% CI: 0,74</w:t>
      </w:r>
      <w:r w:rsidR="008133F9">
        <w:rPr>
          <w:color w:val="000000"/>
        </w:rPr>
        <w:t>;</w:t>
      </w:r>
      <w:r w:rsidR="00A57D84" w:rsidRPr="00A57D84">
        <w:rPr>
          <w:color w:val="000000"/>
        </w:rPr>
        <w:t> 2,92) a skóre RULM 2,79 (95% CI: 1,94</w:t>
      </w:r>
      <w:r w:rsidR="008133F9">
        <w:rPr>
          <w:color w:val="000000"/>
        </w:rPr>
        <w:t>;</w:t>
      </w:r>
      <w:r w:rsidR="00A57D84" w:rsidRPr="00A57D84">
        <w:rPr>
          <w:color w:val="000000"/>
        </w:rPr>
        <w:t> 3,64).</w:t>
      </w:r>
      <w:r w:rsidR="001931E7">
        <w:rPr>
          <w:color w:val="000000"/>
        </w:rPr>
        <w:t xml:space="preserve">  </w:t>
      </w:r>
    </w:p>
    <w:p w14:paraId="06730CAB" w14:textId="77777777" w:rsidR="00DA6B1B" w:rsidRDefault="00DA6B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AC" w14:textId="54C2A8CC" w:rsidR="001263D0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  <w:color w:val="000000"/>
          <w:vertAlign w:val="superscript"/>
        </w:rPr>
      </w:pPr>
      <w:r>
        <w:rPr>
          <w:b/>
          <w:color w:val="000000"/>
        </w:rPr>
        <w:lastRenderedPageBreak/>
        <w:t xml:space="preserve">Obrázek 3. </w:t>
      </w:r>
      <w:r>
        <w:rPr>
          <w:b/>
          <w:color w:val="000000"/>
        </w:rPr>
        <w:tab/>
      </w:r>
      <w:r w:rsidR="00610B9A">
        <w:rPr>
          <w:b/>
          <w:color w:val="000000"/>
        </w:rPr>
        <w:t xml:space="preserve">Průměrná </w:t>
      </w:r>
      <w:r>
        <w:rPr>
          <w:b/>
          <w:color w:val="000000"/>
        </w:rPr>
        <w:t>změna oproti výchozí hodnotě celkového skóre MFM32 během 12 měsíců ve studii SUNFISH část 2</w:t>
      </w:r>
      <w:r>
        <w:rPr>
          <w:b/>
          <w:color w:val="000000"/>
          <w:vertAlign w:val="superscript"/>
        </w:rPr>
        <w:t>1</w:t>
      </w:r>
    </w:p>
    <w:p w14:paraId="06730CAD" w14:textId="77777777" w:rsidR="001263D0" w:rsidRDefault="001263D0" w:rsidP="00960A95">
      <w:pPr>
        <w:keepNext/>
        <w:keepLines/>
        <w:jc w:val="both"/>
      </w:pPr>
    </w:p>
    <w:p w14:paraId="06730CAE" w14:textId="2BDB457B" w:rsidR="00A57D84" w:rsidRDefault="003F4C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vertAlign w:val="superscript"/>
        </w:rPr>
      </w:pPr>
      <w:r>
        <w:rPr>
          <w:noProof/>
          <w:color w:val="000000"/>
          <w:sz w:val="20"/>
          <w:vertAlign w:val="superscript"/>
          <w:lang w:val="cs-CZ" w:eastAsia="cs-CZ"/>
        </w:rPr>
        <w:drawing>
          <wp:inline distT="0" distB="0" distL="0" distR="0" wp14:anchorId="4A39419E" wp14:editId="4693B6DE">
            <wp:extent cx="4742815" cy="3645535"/>
            <wp:effectExtent l="0" t="0" r="63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30CAF" w14:textId="4AD2773F" w:rsidR="001263D0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  <w:proofErr w:type="gramStart"/>
      <w:r>
        <w:rPr>
          <w:color w:val="000000"/>
          <w:sz w:val="20"/>
          <w:vertAlign w:val="superscript"/>
        </w:rPr>
        <w:t>1</w:t>
      </w:r>
      <w:proofErr w:type="gramEnd"/>
      <w:r>
        <w:rPr>
          <w:color w:val="000000"/>
          <w:sz w:val="20"/>
          <w:vertAlign w:val="superscript"/>
        </w:rPr>
        <w:t> </w:t>
      </w:r>
      <w:r w:rsidR="00A969EE">
        <w:rPr>
          <w:color w:val="000000"/>
          <w:sz w:val="20"/>
        </w:rPr>
        <w:t>Průměrný</w:t>
      </w:r>
      <w:r>
        <w:rPr>
          <w:color w:val="000000"/>
          <w:sz w:val="20"/>
        </w:rPr>
        <w:t xml:space="preserve"> rozdíl </w:t>
      </w:r>
      <w:r w:rsidR="00A969EE">
        <w:rPr>
          <w:color w:val="000000"/>
          <w:sz w:val="20"/>
        </w:rPr>
        <w:t xml:space="preserve">metodou </w:t>
      </w:r>
      <w:r>
        <w:rPr>
          <w:color w:val="000000"/>
          <w:sz w:val="20"/>
        </w:rPr>
        <w:t>nejmenších čtverců (LS) pro změnu oproti výchozí hodnotě skóre MFM32 [95% CI].</w:t>
      </w:r>
    </w:p>
    <w:p w14:paraId="06730CB0" w14:textId="77777777" w:rsidR="001263D0" w:rsidRDefault="001263D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  <w:color w:val="000000"/>
        </w:rPr>
      </w:pPr>
    </w:p>
    <w:p w14:paraId="06730CB1" w14:textId="07357D43" w:rsidR="001263D0" w:rsidRDefault="00835E4A">
      <w:pPr>
        <w:keepNext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  <w:color w:val="000000"/>
          <w:vertAlign w:val="superscript"/>
        </w:rPr>
      </w:pPr>
      <w:r>
        <w:rPr>
          <w:b/>
          <w:color w:val="000000"/>
        </w:rPr>
        <w:t xml:space="preserve">Obrázek 4. </w:t>
      </w:r>
      <w:r>
        <w:rPr>
          <w:b/>
          <w:color w:val="000000"/>
        </w:rPr>
        <w:tab/>
      </w:r>
      <w:r w:rsidR="008C0CA5">
        <w:rPr>
          <w:b/>
          <w:color w:val="000000"/>
        </w:rPr>
        <w:t xml:space="preserve">Průměrná </w:t>
      </w:r>
      <w:r>
        <w:rPr>
          <w:b/>
          <w:color w:val="000000"/>
        </w:rPr>
        <w:t>změna oproti výchozí hodnotě celkového skóre RULM během 12 měsíců ve studii SUNFISH část 2</w:t>
      </w:r>
      <w:r>
        <w:rPr>
          <w:b/>
          <w:color w:val="000000"/>
          <w:vertAlign w:val="superscript"/>
        </w:rPr>
        <w:t>1</w:t>
      </w:r>
    </w:p>
    <w:p w14:paraId="06730CB2" w14:textId="77777777" w:rsidR="001263D0" w:rsidRDefault="001263D0">
      <w:pPr>
        <w:keepNext/>
        <w:jc w:val="both"/>
      </w:pPr>
    </w:p>
    <w:p w14:paraId="06730CB3" w14:textId="57778726" w:rsidR="00636213" w:rsidRDefault="0075158A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vertAlign w:val="superscript"/>
        </w:rPr>
      </w:pPr>
      <w:r>
        <w:rPr>
          <w:noProof/>
          <w:color w:val="000000"/>
          <w:sz w:val="20"/>
          <w:vertAlign w:val="superscript"/>
          <w:lang w:val="cs-CZ" w:eastAsia="cs-CZ"/>
        </w:rPr>
        <w:drawing>
          <wp:inline distT="0" distB="0" distL="0" distR="0" wp14:anchorId="742C5A0D" wp14:editId="05F9B3E8">
            <wp:extent cx="4859020" cy="35115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30CB4" w14:textId="2A1330DC" w:rsidR="001263D0" w:rsidRDefault="00835E4A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  <w:proofErr w:type="gramStart"/>
      <w:r>
        <w:rPr>
          <w:color w:val="000000"/>
          <w:sz w:val="20"/>
          <w:vertAlign w:val="superscript"/>
        </w:rPr>
        <w:t>1</w:t>
      </w:r>
      <w:proofErr w:type="gramEnd"/>
      <w:r>
        <w:rPr>
          <w:color w:val="000000"/>
          <w:sz w:val="20"/>
          <w:vertAlign w:val="superscript"/>
        </w:rPr>
        <w:t> </w:t>
      </w:r>
      <w:r w:rsidR="00A969EE">
        <w:rPr>
          <w:color w:val="000000"/>
          <w:sz w:val="20"/>
        </w:rPr>
        <w:t>Průměrný</w:t>
      </w:r>
      <w:r>
        <w:rPr>
          <w:color w:val="000000"/>
          <w:sz w:val="20"/>
        </w:rPr>
        <w:t xml:space="preserve"> rozdíl </w:t>
      </w:r>
      <w:r w:rsidR="00A969EE">
        <w:rPr>
          <w:color w:val="000000"/>
          <w:sz w:val="20"/>
        </w:rPr>
        <w:t xml:space="preserve">metodou </w:t>
      </w:r>
      <w:r>
        <w:rPr>
          <w:color w:val="000000"/>
          <w:sz w:val="20"/>
        </w:rPr>
        <w:t>nejmenších čtverců (LS) pro změnu oproti výchozí hodnotě skóre RULM [95% CI].</w:t>
      </w:r>
    </w:p>
    <w:p w14:paraId="06730CB5" w14:textId="77777777" w:rsidR="001263D0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</w:p>
    <w:p w14:paraId="06730CB6" w14:textId="77777777" w:rsidR="001263D0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lastRenderedPageBreak/>
        <w:t>Studie SUNFISH část 1</w:t>
      </w:r>
    </w:p>
    <w:p w14:paraId="06730CB7" w14:textId="77777777" w:rsidR="001263D0" w:rsidRDefault="001263D0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B8" w14:textId="1CD79B11" w:rsidR="001263D0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Účinnost u pacientů s SMA s pozdějším nástupem byla </w:t>
      </w:r>
      <w:r w:rsidR="00A969EE">
        <w:rPr>
          <w:color w:val="000000"/>
        </w:rPr>
        <w:t>také</w:t>
      </w:r>
      <w:r>
        <w:rPr>
          <w:color w:val="000000"/>
        </w:rPr>
        <w:t xml:space="preserve"> doložena výsledky části 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studie SUNFISH ke stanovení dávky. Do části 1 bylo zařazeno 51 pacientů s SMA 2. </w:t>
      </w:r>
      <w:proofErr w:type="gramStart"/>
      <w:r>
        <w:rPr>
          <w:color w:val="000000"/>
        </w:rPr>
        <w:t>typu</w:t>
      </w:r>
      <w:proofErr w:type="gramEnd"/>
      <w:r>
        <w:rPr>
          <w:color w:val="000000"/>
        </w:rPr>
        <w:t xml:space="preserve"> a 3. </w:t>
      </w:r>
      <w:proofErr w:type="gramStart"/>
      <w:r>
        <w:rPr>
          <w:color w:val="000000"/>
        </w:rPr>
        <w:t>typu</w:t>
      </w:r>
      <w:proofErr w:type="gramEnd"/>
      <w:r>
        <w:rPr>
          <w:color w:val="000000"/>
        </w:rPr>
        <w:t xml:space="preserve"> (včetně 7 chodících pacientů) od 2 do 25 let. Po 1 roku léčby došlo ke klinicky </w:t>
      </w:r>
      <w:r w:rsidR="00A969EE">
        <w:rPr>
          <w:color w:val="000000"/>
        </w:rPr>
        <w:t>významnému</w:t>
      </w:r>
      <w:r>
        <w:rPr>
          <w:color w:val="000000"/>
        </w:rPr>
        <w:t xml:space="preserve"> zlepšení motorických funkcí měřených pomocí MFM32, s</w:t>
      </w:r>
      <w:r w:rsidR="00A969EE">
        <w:rPr>
          <w:color w:val="000000"/>
        </w:rPr>
        <w:t xml:space="preserve"> průměrnou</w:t>
      </w:r>
      <w:r>
        <w:rPr>
          <w:color w:val="000000"/>
        </w:rPr>
        <w:t xml:space="preserve"> změnou oproti výchozí hodnotě o 2</w:t>
      </w:r>
      <w:proofErr w:type="gramStart"/>
      <w:r>
        <w:rPr>
          <w:color w:val="000000"/>
        </w:rPr>
        <w:t>,7</w:t>
      </w:r>
      <w:proofErr w:type="gramEnd"/>
      <w:r>
        <w:rPr>
          <w:color w:val="000000"/>
        </w:rPr>
        <w:t> bodu (95% CI: 1,5</w:t>
      </w:r>
      <w:r w:rsidR="00781AED">
        <w:rPr>
          <w:color w:val="000000"/>
        </w:rPr>
        <w:t>;</w:t>
      </w:r>
      <w:r>
        <w:rPr>
          <w:color w:val="000000"/>
        </w:rPr>
        <w:t xml:space="preserve"> 3,8). Zlepšení MFM32 trvalo až </w:t>
      </w:r>
      <w:r w:rsidR="00A969EE">
        <w:rPr>
          <w:color w:val="000000"/>
        </w:rPr>
        <w:t xml:space="preserve">po </w:t>
      </w:r>
      <w:r>
        <w:rPr>
          <w:color w:val="000000"/>
        </w:rPr>
        <w:t>2 roky léčby (</w:t>
      </w:r>
      <w:r w:rsidR="00A969EE">
        <w:rPr>
          <w:color w:val="000000"/>
        </w:rPr>
        <w:t>průměrná</w:t>
      </w:r>
      <w:r>
        <w:rPr>
          <w:color w:val="000000"/>
        </w:rPr>
        <w:t xml:space="preserve"> změna o 2</w:t>
      </w:r>
      <w:proofErr w:type="gramStart"/>
      <w:r>
        <w:rPr>
          <w:color w:val="000000"/>
        </w:rPr>
        <w:t>,7</w:t>
      </w:r>
      <w:proofErr w:type="gramEnd"/>
      <w:r>
        <w:rPr>
          <w:color w:val="000000"/>
        </w:rPr>
        <w:t> bodu [95% CI: 1,2</w:t>
      </w:r>
      <w:r w:rsidR="00781AED">
        <w:rPr>
          <w:color w:val="000000"/>
        </w:rPr>
        <w:t>;</w:t>
      </w:r>
      <w:r>
        <w:rPr>
          <w:color w:val="000000"/>
        </w:rPr>
        <w:t xml:space="preserve"> 4,2]). </w:t>
      </w:r>
    </w:p>
    <w:p w14:paraId="06730CB9" w14:textId="77777777" w:rsidR="001263D0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BA" w14:textId="77777777" w:rsidR="001263D0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Evropská agentura pro léčivé přípravky udělila odklad povinnosti předložit výsledky studií s přípravkem Evrysdi u jedné podskupiny pediatrické populace v indikaci spinální svalové atrofie (informace o použití u dětí viz bod 4.2).</w:t>
      </w:r>
    </w:p>
    <w:p w14:paraId="06730CBB" w14:textId="77777777" w:rsidR="001263D0" w:rsidRDefault="001263D0">
      <w:pPr>
        <w:ind w:right="-2"/>
      </w:pPr>
    </w:p>
    <w:p w14:paraId="06730CBC" w14:textId="77777777" w:rsidR="001263D0" w:rsidRDefault="00835E4A">
      <w:pPr>
        <w:ind w:left="567" w:hanging="567"/>
        <w:rPr>
          <w:b/>
        </w:rPr>
      </w:pPr>
      <w:r>
        <w:rPr>
          <w:b/>
        </w:rPr>
        <w:t>5.2</w:t>
      </w:r>
      <w:r>
        <w:rPr>
          <w:b/>
        </w:rPr>
        <w:tab/>
        <w:t>Farmakokinetické vlastnosti</w:t>
      </w:r>
    </w:p>
    <w:p w14:paraId="06730CBD" w14:textId="77777777" w:rsidR="001263D0" w:rsidRDefault="001263D0">
      <w:pPr>
        <w:ind w:left="567" w:hanging="567"/>
        <w:rPr>
          <w:b/>
        </w:rPr>
      </w:pPr>
    </w:p>
    <w:p w14:paraId="06730CBE" w14:textId="16649194" w:rsidR="001263D0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Farmakokinetické (PK) parametry byly charakterizovány u zdravých dospělých subjektů a u pacientů s SMA.</w:t>
      </w:r>
    </w:p>
    <w:p w14:paraId="06730CBF" w14:textId="77777777" w:rsidR="001263D0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C0" w14:textId="2B31894C" w:rsidR="001263D0" w:rsidRDefault="00835E4A">
      <w:pPr>
        <w:ind w:right="-2"/>
      </w:pPr>
      <w:r>
        <w:t xml:space="preserve">PK risdiplamu po podání ve formě perorálního roztoku byla přibližně lineární mezi 0,6 a 18 mg. PK risdiplamu nejlépe </w:t>
      </w:r>
      <w:r w:rsidR="00AB1799">
        <w:t>popisoval</w:t>
      </w:r>
      <w:r>
        <w:t xml:space="preserve"> populační PK model s absorpcí ve třech tranzitních kompartmentech, dispozicí ve dvou kompartmentech a eliminací 1. </w:t>
      </w:r>
      <w:proofErr w:type="gramStart"/>
      <w:r>
        <w:t>řádu</w:t>
      </w:r>
      <w:proofErr w:type="gramEnd"/>
      <w:r>
        <w:t xml:space="preserve">. PK byla významně ovlivněna tělesnou hmotností a věkem. </w:t>
      </w:r>
    </w:p>
    <w:p w14:paraId="06730CC1" w14:textId="77777777" w:rsidR="001263D0" w:rsidRDefault="001263D0">
      <w:pPr>
        <w:ind w:right="-2"/>
      </w:pPr>
    </w:p>
    <w:p w14:paraId="06730CC2" w14:textId="0078EC95" w:rsidR="001263D0" w:rsidRDefault="00835E4A">
      <w:pPr>
        <w:ind w:right="-2"/>
      </w:pPr>
      <w:proofErr w:type="gramStart"/>
      <w:r>
        <w:t>Odhadovaná expozice (</w:t>
      </w:r>
      <w:r w:rsidR="00AB1799">
        <w:t>průměrná</w:t>
      </w:r>
      <w:r>
        <w:t xml:space="preserve"> AUC</w:t>
      </w:r>
      <w:r>
        <w:rPr>
          <w:vertAlign w:val="subscript"/>
        </w:rPr>
        <w:t>0-24h</w:t>
      </w:r>
      <w:r>
        <w:t xml:space="preserve">) pro pacienty s SMA s nástupem v dětství (ve věku od 2 do 7 měsíců při zařazení) při terapeutické dávce 0,2 mg/kg jednou denně byla 1 930 ng.h/ml. Odhadovaná expozice pro pacienty s SMA s pozdějším nástupem (ve věku od 2 do 25 let při zařazení) ve studii SUNFISH (část 2) při terapeutické dávce (0,25 mg/kg jednou denně pro pacienty s tělesnou hmotností &lt; 20 kg; 5 mg jednou denně pro pacienty s tělesnou hmotností ≥ 20 kg) byla 2 070 ng.h/ml. </w:t>
      </w:r>
      <w:r w:rsidR="00AB1799">
        <w:t>Pozorovaná</w:t>
      </w:r>
      <w:r>
        <w:t xml:space="preserve"> maximální koncentrace (</w:t>
      </w:r>
      <w:r w:rsidR="00AB1799">
        <w:t>průměrná</w:t>
      </w:r>
      <w:r>
        <w:t xml:space="preserve"> C</w:t>
      </w:r>
      <w:r>
        <w:rPr>
          <w:vertAlign w:val="subscript"/>
        </w:rPr>
        <w:t>max</w:t>
      </w:r>
      <w:r>
        <w:t>) byla 194 ng/ml při dávce 0,2 mg/kg ve studii FIREFISH a 120 ng/ml ve studii SUNFISH část 2.</w:t>
      </w:r>
      <w:proofErr w:type="gramEnd"/>
    </w:p>
    <w:p w14:paraId="06730CC3" w14:textId="77777777" w:rsidR="001263D0" w:rsidRDefault="001263D0">
      <w:pPr>
        <w:ind w:right="-2"/>
        <w:rPr>
          <w:u w:val="single"/>
        </w:rPr>
      </w:pPr>
    </w:p>
    <w:p w14:paraId="06730CC4" w14:textId="77777777" w:rsidR="001263D0" w:rsidRDefault="00835E4A">
      <w:pPr>
        <w:ind w:right="-2"/>
        <w:rPr>
          <w:u w:val="single"/>
        </w:rPr>
      </w:pPr>
      <w:r>
        <w:rPr>
          <w:u w:val="single"/>
        </w:rPr>
        <w:t>Absorpce</w:t>
      </w:r>
    </w:p>
    <w:p w14:paraId="06730CC5" w14:textId="77777777" w:rsidR="001263D0" w:rsidRDefault="001263D0">
      <w:pPr>
        <w:ind w:right="-2"/>
        <w:rPr>
          <w:u w:val="single"/>
        </w:rPr>
      </w:pPr>
    </w:p>
    <w:p w14:paraId="06730CC6" w14:textId="3A18C21B" w:rsidR="001263D0" w:rsidRDefault="00835E4A">
      <w:pPr>
        <w:ind w:right="-2"/>
        <w:rPr>
          <w:u w:val="single"/>
        </w:rPr>
      </w:pPr>
      <w:r>
        <w:t>Risdiplam nalačno se rychle vstřebával s plazmatickou t</w:t>
      </w:r>
      <w:r>
        <w:rPr>
          <w:vertAlign w:val="subscript"/>
        </w:rPr>
        <w:t>max</w:t>
      </w:r>
      <w:r>
        <w:t xml:space="preserve"> v rozmezí </w:t>
      </w:r>
      <w:proofErr w:type="gramStart"/>
      <w:r>
        <w:t>od</w:t>
      </w:r>
      <w:proofErr w:type="gramEnd"/>
      <w:r>
        <w:t xml:space="preserve"> 1 do 4 hodin po perorálním podání. </w:t>
      </w:r>
      <w:r w:rsidR="00670E7D">
        <w:t xml:space="preserve">Podle omezených údajů (n = 3) nemělo jídlo </w:t>
      </w:r>
      <w:r>
        <w:t xml:space="preserve">(vysokokalorická snídaně s vysokým obsahem tuku) </w:t>
      </w:r>
      <w:proofErr w:type="gramStart"/>
      <w:r>
        <w:t>na</w:t>
      </w:r>
      <w:proofErr w:type="gramEnd"/>
      <w:r>
        <w:t xml:space="preserve"> expozici risdiplamu žádný </w:t>
      </w:r>
      <w:r w:rsidR="00AB1799">
        <w:t>významný</w:t>
      </w:r>
      <w:r>
        <w:t xml:space="preserve"> účinek.</w:t>
      </w:r>
      <w:r w:rsidR="00670E7D">
        <w:t xml:space="preserve"> </w:t>
      </w:r>
      <w:r w:rsidR="00C37060" w:rsidRPr="00C37060">
        <w:t>V klinických studiích byl risdiplam podáván při ranním jídle nebo po kojení.</w:t>
      </w:r>
    </w:p>
    <w:p w14:paraId="06730CC7" w14:textId="77777777" w:rsidR="001263D0" w:rsidRDefault="001263D0">
      <w:pPr>
        <w:ind w:right="-2"/>
        <w:rPr>
          <w:u w:val="single"/>
        </w:rPr>
      </w:pPr>
    </w:p>
    <w:p w14:paraId="06730CC8" w14:textId="77777777" w:rsidR="001263D0" w:rsidRDefault="00835E4A">
      <w:pPr>
        <w:keepNext/>
        <w:keepLines/>
        <w:rPr>
          <w:u w:val="single"/>
        </w:rPr>
      </w:pPr>
      <w:r>
        <w:rPr>
          <w:u w:val="single"/>
        </w:rPr>
        <w:t>Distribuce</w:t>
      </w:r>
    </w:p>
    <w:p w14:paraId="06730CC9" w14:textId="77777777" w:rsidR="00DA5DC2" w:rsidRDefault="00DA5DC2" w:rsidP="00DA5DC2"/>
    <w:p w14:paraId="06730CCA" w14:textId="77777777" w:rsidR="00DA5DC2" w:rsidRDefault="00DA5DC2" w:rsidP="00DA5DC2">
      <w:r>
        <w:t>Risdiplam je rovnoměrně distribuován do všech částí organismu včetně centrálního nervového systému (CNS), kam proniká hematoencefalickou bariérou. To vede ke zvýšení hladiny proteinu SMN v CNS i v celém organismu. Koncentrace risdiplamu v plazmě a proteinu SMN v krvi jsou odrazem distribuce risdiplamu a farmakodynamických účinků ve tkáních, jako je mozek a svaly.</w:t>
      </w:r>
    </w:p>
    <w:p w14:paraId="06730CCB" w14:textId="77777777" w:rsidR="001263D0" w:rsidRDefault="001263D0">
      <w:pPr>
        <w:ind w:right="-2"/>
        <w:rPr>
          <w:u w:val="single"/>
        </w:rPr>
      </w:pPr>
    </w:p>
    <w:p w14:paraId="06730CCC" w14:textId="77777777" w:rsidR="001263D0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Odhadované populační PK parametry byly 98 l pro zdánlivý objem distribuce v centrálním kompartmentu, 93 l pro periferní objem a 0</w:t>
      </w:r>
      <w:proofErr w:type="gramStart"/>
      <w:r>
        <w:rPr>
          <w:color w:val="000000"/>
        </w:rPr>
        <w:t>,68</w:t>
      </w:r>
      <w:proofErr w:type="gramEnd"/>
      <w:r>
        <w:rPr>
          <w:color w:val="000000"/>
        </w:rPr>
        <w:t> l/h pro interkompartmentální clearance.</w:t>
      </w:r>
    </w:p>
    <w:p w14:paraId="06730CCD" w14:textId="77777777" w:rsidR="001263D0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CE" w14:textId="7191AAE4" w:rsidR="001263D0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Risdiplam se váže převážně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sérový albumin</w:t>
      </w:r>
      <w:r w:rsidR="00AB1799">
        <w:rPr>
          <w:color w:val="000000"/>
        </w:rPr>
        <w:t>,</w:t>
      </w:r>
      <w:r>
        <w:rPr>
          <w:color w:val="000000"/>
        </w:rPr>
        <w:t xml:space="preserve"> bez vazby na alfa-1 kyselý glykoprotein, s volnou frakcí 11 %.</w:t>
      </w:r>
    </w:p>
    <w:p w14:paraId="06730CCF" w14:textId="77777777" w:rsidR="001263D0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730CD0" w14:textId="77777777" w:rsidR="001263D0" w:rsidRPr="00344835" w:rsidRDefault="00835E4A">
      <w:pPr>
        <w:ind w:right="-2"/>
        <w:rPr>
          <w:u w:val="single"/>
          <w:lang w:val="pt-BR"/>
        </w:rPr>
      </w:pPr>
      <w:r w:rsidRPr="00344835">
        <w:rPr>
          <w:u w:val="single"/>
          <w:lang w:val="pt-BR"/>
        </w:rPr>
        <w:t>Biotransformace</w:t>
      </w:r>
    </w:p>
    <w:p w14:paraId="06730CD1" w14:textId="77777777" w:rsidR="001263D0" w:rsidRPr="00344835" w:rsidRDefault="001263D0">
      <w:pPr>
        <w:ind w:right="-2"/>
        <w:rPr>
          <w:u w:val="single"/>
          <w:lang w:val="pt-BR"/>
        </w:rPr>
      </w:pPr>
    </w:p>
    <w:p w14:paraId="06730CD2" w14:textId="62DB6591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344835">
        <w:rPr>
          <w:color w:val="000000"/>
          <w:lang w:val="pt-BR"/>
        </w:rPr>
        <w:t>Risdiplam je metabolizován primárně</w:t>
      </w:r>
      <w:r w:rsidR="007B698E" w:rsidRPr="00344835">
        <w:rPr>
          <w:color w:val="000000"/>
          <w:lang w:val="pt-BR"/>
        </w:rPr>
        <w:t xml:space="preserve"> prostřednictvím</w:t>
      </w:r>
      <w:r w:rsidRPr="00344835">
        <w:rPr>
          <w:color w:val="000000"/>
          <w:lang w:val="pt-BR"/>
        </w:rPr>
        <w:t xml:space="preserve"> FMO1 a </w:t>
      </w:r>
      <w:r w:rsidR="00AB1799">
        <w:rPr>
          <w:color w:val="000000"/>
          <w:lang w:val="pt-BR"/>
        </w:rPr>
        <w:t>FMO</w:t>
      </w:r>
      <w:r w:rsidRPr="00344835">
        <w:rPr>
          <w:color w:val="000000"/>
          <w:lang w:val="pt-BR"/>
        </w:rPr>
        <w:t>3 a </w:t>
      </w:r>
      <w:r w:rsidR="00B35696">
        <w:rPr>
          <w:color w:val="000000"/>
          <w:lang w:val="pt-BR"/>
        </w:rPr>
        <w:t>také</w:t>
      </w:r>
      <w:r w:rsidRPr="00344835">
        <w:rPr>
          <w:color w:val="000000"/>
          <w:lang w:val="pt-BR"/>
        </w:rPr>
        <w:t xml:space="preserve"> CYP 1A1, 2J2, 3A4 a 3A7. </w:t>
      </w:r>
    </w:p>
    <w:p w14:paraId="06730CD3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6730CD4" w14:textId="15D4563A" w:rsidR="001263D0" w:rsidRPr="00344835" w:rsidRDefault="00835E4A">
      <w:pPr>
        <w:ind w:right="-2"/>
        <w:rPr>
          <w:u w:val="single"/>
          <w:lang w:val="pt-BR"/>
        </w:rPr>
      </w:pPr>
      <w:r w:rsidRPr="00344835">
        <w:rPr>
          <w:lang w:val="pt-BR"/>
        </w:rPr>
        <w:lastRenderedPageBreak/>
        <w:t xml:space="preserve">Souběžné podání silného inhibitoru CYP3A itrakonazolu 200 mg dvakrát denně s jednorázovou perorální dávkou risdiplamu 6 mg nemělo klinicky </w:t>
      </w:r>
      <w:r w:rsidR="00AB1799">
        <w:rPr>
          <w:lang w:val="pt-BR"/>
        </w:rPr>
        <w:t>významný</w:t>
      </w:r>
      <w:r w:rsidRPr="00344835">
        <w:rPr>
          <w:lang w:val="pt-BR"/>
        </w:rPr>
        <w:t xml:space="preserve"> účinek na PK parametry risdiplamu (11% zvýšení AUC, 9% snížení C</w:t>
      </w:r>
      <w:r w:rsidRPr="00344835">
        <w:rPr>
          <w:vertAlign w:val="subscript"/>
          <w:lang w:val="pt-BR"/>
        </w:rPr>
        <w:t>max</w:t>
      </w:r>
      <w:r w:rsidRPr="00344835">
        <w:rPr>
          <w:lang w:val="pt-BR"/>
        </w:rPr>
        <w:t>).</w:t>
      </w:r>
    </w:p>
    <w:p w14:paraId="06730CD5" w14:textId="77777777" w:rsidR="001263D0" w:rsidRPr="00344835" w:rsidRDefault="001263D0">
      <w:pPr>
        <w:ind w:right="-2"/>
        <w:rPr>
          <w:u w:val="single"/>
          <w:lang w:val="pt-BR"/>
        </w:rPr>
      </w:pPr>
    </w:p>
    <w:p w14:paraId="06730CD6" w14:textId="77777777" w:rsidR="001263D0" w:rsidRPr="00344835" w:rsidRDefault="00835E4A">
      <w:pPr>
        <w:ind w:right="-2"/>
        <w:rPr>
          <w:u w:val="single"/>
          <w:lang w:val="pt-BR"/>
        </w:rPr>
      </w:pPr>
      <w:r w:rsidRPr="00344835">
        <w:rPr>
          <w:u w:val="single"/>
          <w:lang w:val="pt-BR"/>
        </w:rPr>
        <w:t>Eliminace</w:t>
      </w:r>
    </w:p>
    <w:p w14:paraId="06730CD7" w14:textId="77777777" w:rsidR="001263D0" w:rsidRPr="00344835" w:rsidRDefault="001263D0">
      <w:pPr>
        <w:ind w:right="-2"/>
        <w:rPr>
          <w:u w:val="single"/>
          <w:lang w:val="pt-BR"/>
        </w:rPr>
      </w:pPr>
    </w:p>
    <w:p w14:paraId="06730CD8" w14:textId="31A3D322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344835">
        <w:rPr>
          <w:color w:val="000000"/>
          <w:lang w:val="pt-BR"/>
        </w:rPr>
        <w:t>Zdánlivá clearance (C</w:t>
      </w:r>
      <w:r w:rsidR="00AB1799">
        <w:rPr>
          <w:color w:val="000000"/>
          <w:lang w:val="pt-BR"/>
        </w:rPr>
        <w:t>l</w:t>
      </w:r>
      <w:r w:rsidRPr="00344835">
        <w:rPr>
          <w:color w:val="000000"/>
          <w:lang w:val="pt-BR"/>
        </w:rPr>
        <w:t>/F) risdiplamu odhadnutá pomocí populačních PK analýz byla 2,6 l/h. Efektivní poločas risdiplamu u pacientů s SMA byl přibližně 50 hodin.</w:t>
      </w:r>
    </w:p>
    <w:p w14:paraId="06730CD9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6730CDA" w14:textId="7334C6BF" w:rsidR="001263D0" w:rsidRPr="00344835" w:rsidRDefault="00C370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344835">
        <w:rPr>
          <w:color w:val="000000"/>
          <w:lang w:val="pt-BR"/>
        </w:rPr>
        <w:t xml:space="preserve">Risdiplam není substrátem </w:t>
      </w:r>
      <w:r w:rsidR="00F5053F">
        <w:rPr>
          <w:color w:val="000000"/>
          <w:lang w:val="pt-BR"/>
        </w:rPr>
        <w:t xml:space="preserve">lidského </w:t>
      </w:r>
      <w:r w:rsidRPr="00344835">
        <w:rPr>
          <w:color w:val="000000"/>
          <w:lang w:val="pt-BR"/>
        </w:rPr>
        <w:t xml:space="preserve">proteinu mnohočetné lékové rezistence </w:t>
      </w:r>
      <w:r w:rsidR="00F5053F">
        <w:rPr>
          <w:color w:val="000000"/>
          <w:lang w:val="pt-BR"/>
        </w:rPr>
        <w:t xml:space="preserve">1 </w:t>
      </w:r>
      <w:r w:rsidRPr="00344835">
        <w:rPr>
          <w:color w:val="000000"/>
          <w:lang w:val="pt-BR"/>
        </w:rPr>
        <w:t>(MDR1).</w:t>
      </w:r>
    </w:p>
    <w:p w14:paraId="06730CDB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6730CDC" w14:textId="77777777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344835">
        <w:rPr>
          <w:color w:val="000000"/>
          <w:lang w:val="pt-BR"/>
        </w:rPr>
        <w:t xml:space="preserve">Přibližně 53 % dávky (14 % nezměněného risdiplamu) bylo vyloučeno stolicí a 28 % (8 % nezměněného risdiplamu) bylo vyloučeno močí.  Hlavní složkou zjištěnou v plazmě byl nemetabolizovaný lék, který odpovídal 83 % cirkulujícího materiálu.  Hlavním cirkulujícím metabolitem byl farmakologicky neaktivní metabolit M1. </w:t>
      </w:r>
    </w:p>
    <w:p w14:paraId="06730CDD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6730CDE" w14:textId="77777777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  <w:lang w:val="pt-BR"/>
        </w:rPr>
      </w:pPr>
      <w:r w:rsidRPr="00344835">
        <w:rPr>
          <w:color w:val="000000"/>
          <w:u w:val="single"/>
          <w:lang w:val="pt-BR"/>
        </w:rPr>
        <w:t>Farmakokinetika ve zvláštních populacích</w:t>
      </w:r>
    </w:p>
    <w:p w14:paraId="06730CDF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highlight w:val="lightGray"/>
          <w:lang w:val="pt-BR"/>
        </w:rPr>
      </w:pPr>
    </w:p>
    <w:p w14:paraId="06730CE0" w14:textId="77777777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pt-BR"/>
        </w:rPr>
      </w:pPr>
      <w:r w:rsidRPr="00344835">
        <w:rPr>
          <w:i/>
          <w:color w:val="000000"/>
          <w:lang w:val="pt-BR"/>
        </w:rPr>
        <w:t>Pediatrická populace</w:t>
      </w:r>
    </w:p>
    <w:p w14:paraId="06730CE1" w14:textId="4AB9887E" w:rsidR="001263D0" w:rsidRPr="00344835" w:rsidRDefault="00835E4A">
      <w:pPr>
        <w:rPr>
          <w:lang w:val="pt-BR"/>
        </w:rPr>
      </w:pPr>
      <w:r w:rsidRPr="00344835">
        <w:rPr>
          <w:lang w:val="pt-BR"/>
        </w:rPr>
        <w:t>Kovari</w:t>
      </w:r>
      <w:r w:rsidR="00F5053F">
        <w:rPr>
          <w:lang w:val="pt-BR"/>
        </w:rPr>
        <w:t>á</w:t>
      </w:r>
      <w:r w:rsidRPr="00344835">
        <w:rPr>
          <w:lang w:val="pt-BR"/>
        </w:rPr>
        <w:t>tami v populační PK analýze byly tělesná hmotnost a věk. Dávka se proto upravuje podle věku (do 2 let a nad 2 roky) a tělesné hmotnosti (</w:t>
      </w:r>
      <w:r w:rsidR="00F5053F">
        <w:rPr>
          <w:lang w:val="pt-BR"/>
        </w:rPr>
        <w:t xml:space="preserve">až </w:t>
      </w:r>
      <w:r w:rsidRPr="00344835">
        <w:rPr>
          <w:lang w:val="pt-BR"/>
        </w:rPr>
        <w:t xml:space="preserve">do 20 kg) k zajištění obdobné expozice pro pacienty s různým věkem a tělesnou hmotností. U dětí do 2 měsíců nejsou dostupné žádné údaje. </w:t>
      </w:r>
    </w:p>
    <w:p w14:paraId="06730CE2" w14:textId="77777777" w:rsidR="001263D0" w:rsidRPr="00344835" w:rsidRDefault="001263D0">
      <w:pPr>
        <w:rPr>
          <w:highlight w:val="lightGray"/>
          <w:u w:val="single"/>
          <w:lang w:val="pt-BR"/>
        </w:rPr>
      </w:pPr>
    </w:p>
    <w:p w14:paraId="06730CE3" w14:textId="77777777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pt-BR"/>
        </w:rPr>
      </w:pPr>
      <w:r w:rsidRPr="00344835">
        <w:rPr>
          <w:i/>
          <w:color w:val="000000"/>
          <w:lang w:val="pt-BR"/>
        </w:rPr>
        <w:t>Starší populace</w:t>
      </w:r>
    </w:p>
    <w:p w14:paraId="06730CE4" w14:textId="4AB63465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D9D9D9"/>
          <w:lang w:val="pt-BR"/>
        </w:rPr>
      </w:pPr>
      <w:r w:rsidRPr="00344835">
        <w:rPr>
          <w:color w:val="000000"/>
          <w:lang w:val="pt-BR"/>
        </w:rPr>
        <w:t xml:space="preserve">Nebyly provedeny žádné studie přímo určené k hodnocení PK u pacientů s SMA nad 60 let. </w:t>
      </w:r>
      <w:r w:rsidR="00104A84" w:rsidRPr="00344835">
        <w:rPr>
          <w:color w:val="000000"/>
          <w:lang w:val="pt-BR"/>
        </w:rPr>
        <w:t xml:space="preserve">Subjekty </w:t>
      </w:r>
      <w:r w:rsidRPr="00344835">
        <w:rPr>
          <w:color w:val="000000"/>
          <w:lang w:val="pt-BR"/>
        </w:rPr>
        <w:t xml:space="preserve">bez SMA </w:t>
      </w:r>
      <w:r w:rsidR="00F5053F">
        <w:rPr>
          <w:color w:val="000000"/>
          <w:lang w:val="pt-BR"/>
        </w:rPr>
        <w:t xml:space="preserve">až </w:t>
      </w:r>
      <w:r w:rsidRPr="00344835">
        <w:rPr>
          <w:color w:val="000000"/>
          <w:lang w:val="pt-BR"/>
        </w:rPr>
        <w:t>do 69 let byl</w:t>
      </w:r>
      <w:r w:rsidR="00104A84" w:rsidRPr="00344835">
        <w:rPr>
          <w:color w:val="000000"/>
          <w:lang w:val="pt-BR"/>
        </w:rPr>
        <w:t>y</w:t>
      </w:r>
      <w:r w:rsidRPr="00344835">
        <w:rPr>
          <w:color w:val="000000"/>
          <w:lang w:val="pt-BR"/>
        </w:rPr>
        <w:t xml:space="preserve"> zařazen</w:t>
      </w:r>
      <w:r w:rsidR="00104A84" w:rsidRPr="00344835">
        <w:rPr>
          <w:color w:val="000000"/>
          <w:lang w:val="pt-BR"/>
        </w:rPr>
        <w:t>y</w:t>
      </w:r>
      <w:r w:rsidRPr="00344835">
        <w:rPr>
          <w:color w:val="000000"/>
          <w:lang w:val="pt-BR"/>
        </w:rPr>
        <w:t xml:space="preserve"> do klinických PK studií, podle kterých není u pacientů </w:t>
      </w:r>
      <w:r w:rsidR="00F5053F">
        <w:rPr>
          <w:color w:val="000000"/>
          <w:lang w:val="pt-BR"/>
        </w:rPr>
        <w:t xml:space="preserve">až </w:t>
      </w:r>
      <w:r w:rsidRPr="00344835">
        <w:rPr>
          <w:color w:val="000000"/>
          <w:lang w:val="pt-BR"/>
        </w:rPr>
        <w:t>do 69 let třeba žádná úprava dávkování.</w:t>
      </w:r>
    </w:p>
    <w:p w14:paraId="06730CE5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pt-BR"/>
        </w:rPr>
      </w:pPr>
    </w:p>
    <w:p w14:paraId="06730CE6" w14:textId="77777777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pt-BR"/>
        </w:rPr>
      </w:pPr>
      <w:r w:rsidRPr="00344835">
        <w:rPr>
          <w:i/>
          <w:color w:val="000000"/>
          <w:lang w:val="pt-BR"/>
        </w:rPr>
        <w:t>Porucha funkce ledvin</w:t>
      </w:r>
    </w:p>
    <w:p w14:paraId="06730CE7" w14:textId="77777777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344835">
        <w:rPr>
          <w:color w:val="000000"/>
          <w:lang w:val="pt-BR"/>
        </w:rPr>
        <w:t xml:space="preserve">Nebyly provedeny žádné studie ke zhodnocení PK risdiplamu u pacientů s poruchou funkce ledvin. Vylučování nezměněného risdiplamu močí je méně významné (8 %). </w:t>
      </w:r>
    </w:p>
    <w:p w14:paraId="06730CE8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D9D9D9"/>
          <w:lang w:val="pt-BR"/>
        </w:rPr>
      </w:pPr>
    </w:p>
    <w:p w14:paraId="06730CE9" w14:textId="77777777" w:rsidR="001263D0" w:rsidRPr="00344835" w:rsidRDefault="00835E4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i/>
          <w:color w:val="000000"/>
          <w:lang w:val="pt-BR"/>
        </w:rPr>
      </w:pPr>
      <w:r w:rsidRPr="00344835">
        <w:rPr>
          <w:i/>
          <w:color w:val="000000"/>
          <w:lang w:val="pt-BR"/>
        </w:rPr>
        <w:t>Porucha funkce jater</w:t>
      </w:r>
    </w:p>
    <w:p w14:paraId="06730CEA" w14:textId="4B04F2BD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color w:val="000000"/>
          <w:lang w:val="pt-BR"/>
        </w:rPr>
      </w:pPr>
      <w:r w:rsidRPr="00344835">
        <w:rPr>
          <w:color w:val="000000"/>
          <w:lang w:val="pt-BR"/>
        </w:rPr>
        <w:t xml:space="preserve">Lehká a středně těžká porucha funkce jater PK risdiplamu </w:t>
      </w:r>
      <w:r w:rsidR="00AF767D" w:rsidRPr="00344835">
        <w:rPr>
          <w:color w:val="000000"/>
          <w:lang w:val="pt-BR"/>
        </w:rPr>
        <w:t xml:space="preserve">významně </w:t>
      </w:r>
      <w:r w:rsidRPr="00344835">
        <w:rPr>
          <w:color w:val="000000"/>
          <w:lang w:val="pt-BR"/>
        </w:rPr>
        <w:t xml:space="preserve">neovlivňovala. </w:t>
      </w:r>
      <w:r w:rsidR="00F5053F">
        <w:rPr>
          <w:color w:val="000000"/>
          <w:lang w:val="pt-BR"/>
        </w:rPr>
        <w:t>Průměrné</w:t>
      </w:r>
      <w:r w:rsidRPr="00344835">
        <w:rPr>
          <w:color w:val="000000"/>
          <w:lang w:val="pt-BR"/>
        </w:rPr>
        <w:t xml:space="preserve"> poměry pro C</w:t>
      </w:r>
      <w:r w:rsidRPr="00344835">
        <w:rPr>
          <w:color w:val="000000"/>
          <w:vertAlign w:val="subscript"/>
          <w:lang w:val="pt-BR"/>
        </w:rPr>
        <w:t xml:space="preserve">max </w:t>
      </w:r>
      <w:r w:rsidRPr="00344835">
        <w:rPr>
          <w:color w:val="000000"/>
          <w:lang w:val="pt-BR"/>
        </w:rPr>
        <w:t xml:space="preserve">a AUC po podání </w:t>
      </w:r>
      <w:r w:rsidR="0095644A" w:rsidRPr="00344835">
        <w:rPr>
          <w:color w:val="000000"/>
          <w:lang w:val="pt-BR"/>
        </w:rPr>
        <w:t>jednorázové</w:t>
      </w:r>
      <w:r w:rsidR="00AF767D" w:rsidRPr="00344835">
        <w:rPr>
          <w:color w:val="000000"/>
          <w:lang w:val="pt-BR"/>
        </w:rPr>
        <w:t xml:space="preserve"> perorální dávky </w:t>
      </w:r>
      <w:r w:rsidRPr="00344835">
        <w:rPr>
          <w:color w:val="000000"/>
          <w:lang w:val="pt-BR"/>
        </w:rPr>
        <w:t>5 mg risdiplamu byly 0,95 a 0,80 u pacientů s lehkou (n = 8) a 1,20 a 1,08 u pacientů se středně těžkou (n = 8) poruchou funkce jater ve srovnání se spárovanými kontrolními zdravými subjekty (n = 10). Bezpečnost a PK risdiplamu u pacientů s těžkou poruchou funkce jater nebyly hodnoceny.</w:t>
      </w:r>
    </w:p>
    <w:p w14:paraId="06730CEB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color w:val="000000"/>
          <w:lang w:val="pt-BR"/>
        </w:rPr>
      </w:pPr>
    </w:p>
    <w:p w14:paraId="06730CEC" w14:textId="77777777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i/>
          <w:color w:val="000000"/>
          <w:lang w:val="pt-BR"/>
        </w:rPr>
      </w:pPr>
      <w:r w:rsidRPr="00344835">
        <w:rPr>
          <w:i/>
          <w:color w:val="000000"/>
          <w:lang w:val="pt-BR"/>
        </w:rPr>
        <w:t>Etnický původ</w:t>
      </w:r>
    </w:p>
    <w:p w14:paraId="06730CED" w14:textId="17E113A8" w:rsidR="001263D0" w:rsidRPr="00344835" w:rsidRDefault="00835E4A">
      <w:pPr>
        <w:rPr>
          <w:lang w:val="pt-BR"/>
        </w:rPr>
      </w:pPr>
      <w:r w:rsidRPr="00344835">
        <w:rPr>
          <w:lang w:val="pt-BR"/>
        </w:rPr>
        <w:t xml:space="preserve">PK risdiplamu se u japonských subjektů </w:t>
      </w:r>
      <w:r w:rsidR="00F5053F" w:rsidRPr="00721B88">
        <w:rPr>
          <w:lang w:val="pt-BR"/>
        </w:rPr>
        <w:t xml:space="preserve">a subjektů bílé rasy </w:t>
      </w:r>
      <w:r w:rsidRPr="00344835">
        <w:rPr>
          <w:lang w:val="pt-BR"/>
        </w:rPr>
        <w:t>nelišila.</w:t>
      </w:r>
    </w:p>
    <w:p w14:paraId="06730CEE" w14:textId="77777777" w:rsidR="001263D0" w:rsidRPr="00344835" w:rsidRDefault="001263D0">
      <w:pPr>
        <w:rPr>
          <w:highlight w:val="lightGray"/>
          <w:lang w:val="pt-BR"/>
        </w:rPr>
      </w:pPr>
    </w:p>
    <w:p w14:paraId="06730CEF" w14:textId="77777777" w:rsidR="001263D0" w:rsidRPr="00344835" w:rsidRDefault="00835E4A">
      <w:pPr>
        <w:ind w:left="567" w:hanging="567"/>
        <w:rPr>
          <w:lang w:val="pt-BR"/>
        </w:rPr>
      </w:pPr>
      <w:r w:rsidRPr="00344835">
        <w:rPr>
          <w:b/>
          <w:lang w:val="pt-BR"/>
        </w:rPr>
        <w:t>5.3</w:t>
      </w:r>
      <w:r w:rsidRPr="00344835">
        <w:rPr>
          <w:b/>
          <w:lang w:val="pt-BR"/>
        </w:rPr>
        <w:tab/>
        <w:t>Předklinické údaje vztahující se k bezpečnosti</w:t>
      </w:r>
    </w:p>
    <w:p w14:paraId="06730CF0" w14:textId="77777777" w:rsidR="001263D0" w:rsidRPr="00344835" w:rsidRDefault="001263D0">
      <w:pPr>
        <w:rPr>
          <w:lang w:val="pt-BR"/>
        </w:rPr>
      </w:pPr>
    </w:p>
    <w:p w14:paraId="06730CF1" w14:textId="77777777" w:rsidR="002529E3" w:rsidRPr="00344835" w:rsidRDefault="002529E3" w:rsidP="002529E3">
      <w:pPr>
        <w:rPr>
          <w:u w:val="single"/>
          <w:lang w:val="pt-BR"/>
        </w:rPr>
      </w:pPr>
      <w:r w:rsidRPr="00344835">
        <w:rPr>
          <w:u w:val="single"/>
          <w:lang w:val="pt-BR"/>
        </w:rPr>
        <w:t xml:space="preserve">Porucha </w:t>
      </w:r>
      <w:r w:rsidR="005C7AD5" w:rsidRPr="00344835">
        <w:rPr>
          <w:u w:val="single"/>
          <w:lang w:val="pt-BR"/>
        </w:rPr>
        <w:t>fertility</w:t>
      </w:r>
    </w:p>
    <w:p w14:paraId="06730CF2" w14:textId="77777777" w:rsidR="002529E3" w:rsidRPr="00344835" w:rsidRDefault="002529E3">
      <w:pPr>
        <w:rPr>
          <w:lang w:val="pt-BR"/>
        </w:rPr>
      </w:pPr>
    </w:p>
    <w:p w14:paraId="06730CF3" w14:textId="30BBC316" w:rsidR="002529E3" w:rsidRPr="00344835" w:rsidRDefault="002529E3" w:rsidP="002529E3">
      <w:pPr>
        <w:rPr>
          <w:lang w:val="pt-BR"/>
        </w:rPr>
      </w:pPr>
      <w:r w:rsidRPr="00344835">
        <w:rPr>
          <w:lang w:val="pt-BR"/>
        </w:rPr>
        <w:t xml:space="preserve">Podávání risdiplamu potkanům a opicím </w:t>
      </w:r>
      <w:r w:rsidR="00D81CDB" w:rsidRPr="00344835">
        <w:rPr>
          <w:lang w:val="pt-BR"/>
        </w:rPr>
        <w:t xml:space="preserve">při systémových expozicích na úrovni dávky bez pozorovatelných nežádoucích účinků (NOAEL) </w:t>
      </w:r>
      <w:r w:rsidRPr="00344835">
        <w:rPr>
          <w:lang w:val="pt-BR"/>
        </w:rPr>
        <w:t>byl</w:t>
      </w:r>
      <w:r w:rsidR="00C27B3B" w:rsidRPr="00344835">
        <w:rPr>
          <w:lang w:val="pt-BR"/>
        </w:rPr>
        <w:t>o</w:t>
      </w:r>
      <w:r w:rsidRPr="00344835">
        <w:rPr>
          <w:lang w:val="pt-BR"/>
        </w:rPr>
        <w:t xml:space="preserve"> </w:t>
      </w:r>
      <w:r w:rsidR="00C27B3B" w:rsidRPr="00344835">
        <w:rPr>
          <w:lang w:val="pt-BR"/>
        </w:rPr>
        <w:t xml:space="preserve">spojeno </w:t>
      </w:r>
      <w:r w:rsidRPr="00344835">
        <w:rPr>
          <w:lang w:val="pt-BR"/>
        </w:rPr>
        <w:t>se zastavením růstu samčích zárodečných buněk</w:t>
      </w:r>
      <w:r w:rsidR="002073F6">
        <w:rPr>
          <w:lang w:val="pt-BR"/>
        </w:rPr>
        <w:t xml:space="preserve"> </w:t>
      </w:r>
      <w:r w:rsidR="002073F6" w:rsidRPr="00721B88">
        <w:rPr>
          <w:lang w:val="pt-BR"/>
        </w:rPr>
        <w:t>bez bezpečnostních mezí</w:t>
      </w:r>
      <w:r w:rsidRPr="00344835">
        <w:rPr>
          <w:lang w:val="pt-BR"/>
        </w:rPr>
        <w:t>. Tyto účinky vedly k degeneraci spermatocytů, degeneraci/nekróze epitelu semenotvorných kanálků a oligospermii/aspermii v nadvarleti. Účinky risdiplamu na semenné buňky pravděpodobně souvisí s narušením cyklu buněčného dělení risdiplamem</w:t>
      </w:r>
      <w:r w:rsidR="00A91464" w:rsidRPr="00344835">
        <w:rPr>
          <w:lang w:val="pt-BR"/>
        </w:rPr>
        <w:t>,</w:t>
      </w:r>
      <w:r w:rsidRPr="00344835">
        <w:rPr>
          <w:lang w:val="pt-BR"/>
        </w:rPr>
        <w:t xml:space="preserve"> </w:t>
      </w:r>
      <w:r w:rsidR="00A91464" w:rsidRPr="00344835">
        <w:rPr>
          <w:lang w:val="pt-BR"/>
        </w:rPr>
        <w:t xml:space="preserve">které je </w:t>
      </w:r>
      <w:r w:rsidRPr="00344835">
        <w:rPr>
          <w:lang w:val="pt-BR"/>
        </w:rPr>
        <w:t xml:space="preserve">specifické pro </w:t>
      </w:r>
      <w:r w:rsidR="00DB6D4A" w:rsidRPr="00344835">
        <w:rPr>
          <w:lang w:val="pt-BR"/>
        </w:rPr>
        <w:t xml:space="preserve">vývojové </w:t>
      </w:r>
      <w:r w:rsidRPr="00344835">
        <w:rPr>
          <w:lang w:val="pt-BR"/>
        </w:rPr>
        <w:t>stadium a </w:t>
      </w:r>
      <w:r w:rsidR="00D81CDB" w:rsidRPr="00344835">
        <w:rPr>
          <w:lang w:val="pt-BR"/>
        </w:rPr>
        <w:t xml:space="preserve">bude </w:t>
      </w:r>
      <w:r w:rsidR="00A91464" w:rsidRPr="00344835">
        <w:rPr>
          <w:lang w:val="pt-BR"/>
        </w:rPr>
        <w:t xml:space="preserve">pravděpodobně </w:t>
      </w:r>
      <w:r w:rsidRPr="00344835">
        <w:rPr>
          <w:lang w:val="pt-BR"/>
        </w:rPr>
        <w:t>reverzibilní. U samic potkanů a opic nebyly po podání risdiplamu zjištěny žádné účinky na reprodukční orgány.</w:t>
      </w:r>
    </w:p>
    <w:p w14:paraId="06730CF4" w14:textId="77777777" w:rsidR="00D81CDB" w:rsidRPr="00344835" w:rsidRDefault="00D81CDB" w:rsidP="002529E3">
      <w:pPr>
        <w:rPr>
          <w:lang w:val="pt-BR"/>
        </w:rPr>
      </w:pPr>
    </w:p>
    <w:p w14:paraId="06730CF5" w14:textId="77777777" w:rsidR="002529E3" w:rsidRPr="00344835" w:rsidRDefault="000777DB" w:rsidP="000777DB">
      <w:pPr>
        <w:rPr>
          <w:lang w:val="pt-BR"/>
        </w:rPr>
      </w:pPr>
      <w:r w:rsidRPr="00344835">
        <w:rPr>
          <w:lang w:val="pt-BR"/>
        </w:rPr>
        <w:t xml:space="preserve">Nebyly provedeny žádné studie fertility ani raného embryonálního vývoje se souběžným podáváním risdiplamu, protože jiné studie toxicity při léčbě potkanů a opic doložily zastavení růstu samčích </w:t>
      </w:r>
      <w:r w:rsidRPr="00344835">
        <w:rPr>
          <w:lang w:val="pt-BR"/>
        </w:rPr>
        <w:lastRenderedPageBreak/>
        <w:t>zárodečných buněk a embr</w:t>
      </w:r>
      <w:r w:rsidR="00DB2EC2" w:rsidRPr="00344835">
        <w:rPr>
          <w:lang w:val="pt-BR"/>
        </w:rPr>
        <w:t>y</w:t>
      </w:r>
      <w:r w:rsidRPr="00344835">
        <w:rPr>
          <w:lang w:val="pt-BR"/>
        </w:rPr>
        <w:t>otoxický potenciál. Ve dvou studiích, ve kterých byl</w:t>
      </w:r>
      <w:r w:rsidR="008E4B52" w:rsidRPr="00344835">
        <w:rPr>
          <w:lang w:val="pt-BR"/>
        </w:rPr>
        <w:t>i</w:t>
      </w:r>
      <w:r w:rsidRPr="00344835">
        <w:rPr>
          <w:lang w:val="pt-BR"/>
        </w:rPr>
        <w:t xml:space="preserve"> pářeni potkani po absolvování 13týdenního léčebného období zahájeného po odstavení nebo 8 týdnů po absolvování 4týdenního léčebného období zahájeného ve stáří 4 dnů, nebyla zjištěna žádná porucha samčí fertility ani samičí fertility.</w:t>
      </w:r>
    </w:p>
    <w:p w14:paraId="06730CF6" w14:textId="77777777" w:rsidR="002529E3" w:rsidRPr="00344835" w:rsidRDefault="002529E3">
      <w:pPr>
        <w:rPr>
          <w:lang w:val="pt-BR"/>
        </w:rPr>
      </w:pPr>
    </w:p>
    <w:p w14:paraId="06730CF7" w14:textId="77777777" w:rsidR="00554FFC" w:rsidRPr="00344835" w:rsidRDefault="00554FFC" w:rsidP="00554FFC">
      <w:pPr>
        <w:rPr>
          <w:u w:val="single"/>
          <w:lang w:val="pt-BR"/>
        </w:rPr>
      </w:pPr>
      <w:r w:rsidRPr="00344835">
        <w:rPr>
          <w:u w:val="single"/>
          <w:lang w:val="pt-BR"/>
        </w:rPr>
        <w:t>Účinek na strukturu oční sítnice</w:t>
      </w:r>
    </w:p>
    <w:p w14:paraId="06730CF8" w14:textId="77777777" w:rsidR="00554FFC" w:rsidRPr="00344835" w:rsidRDefault="00554FFC" w:rsidP="00554FFC">
      <w:pPr>
        <w:rPr>
          <w:b/>
          <w:i/>
          <w:lang w:val="pt-BR"/>
        </w:rPr>
      </w:pPr>
    </w:p>
    <w:p w14:paraId="06730CF9" w14:textId="3552C465" w:rsidR="00554FFC" w:rsidRPr="00344835" w:rsidRDefault="00554FFC" w:rsidP="00554FFC">
      <w:pPr>
        <w:rPr>
          <w:lang w:val="pt-BR"/>
        </w:rPr>
      </w:pPr>
      <w:r w:rsidRPr="00344835">
        <w:rPr>
          <w:lang w:val="pt-BR"/>
        </w:rPr>
        <w:t>Chronické podávání risdiplamu opicím prokázalo účinek na oční sítnici v podobě degenerace fotoreceptorů s počátkem na okrajích sítnice. Účinky na retinogram byly částečně reverzibilní po vysazení risdiplamu, degenerace fotoreceptorů ale reverzibilní nebyla. Účinky byly měřeny pomocí optické koherentní tomografie (OCT) a elektroretinografie (ERG). Účinky byly zjištěny při expozicích překračujících 2násobek expozice při terapeutické dávce u člověka</w:t>
      </w:r>
      <w:r w:rsidR="000777DB" w:rsidRPr="00344835">
        <w:rPr>
          <w:lang w:val="pt-BR"/>
        </w:rPr>
        <w:t xml:space="preserve"> </w:t>
      </w:r>
      <w:r w:rsidR="00C83E66" w:rsidRPr="00344835">
        <w:rPr>
          <w:lang w:val="pt-BR"/>
        </w:rPr>
        <w:t>bez bezpečnostní meze při systémových expozicích na úrovni NOAEL</w:t>
      </w:r>
      <w:r w:rsidRPr="00344835">
        <w:rPr>
          <w:lang w:val="pt-BR"/>
        </w:rPr>
        <w:t>. Podobné účinky nebyly zjištěny u </w:t>
      </w:r>
      <w:r w:rsidR="002073F6">
        <w:rPr>
          <w:lang w:val="pt-BR"/>
        </w:rPr>
        <w:t>albínů</w:t>
      </w:r>
      <w:r w:rsidRPr="00344835">
        <w:rPr>
          <w:lang w:val="pt-BR"/>
        </w:rPr>
        <w:t xml:space="preserve"> ani </w:t>
      </w:r>
      <w:r w:rsidR="002073F6">
        <w:rPr>
          <w:lang w:val="pt-BR"/>
        </w:rPr>
        <w:t>pigmentovaných</w:t>
      </w:r>
      <w:r w:rsidRPr="00344835">
        <w:rPr>
          <w:lang w:val="pt-BR"/>
        </w:rPr>
        <w:t xml:space="preserve"> potkanů po chronickém podávání risdiplamu při expozicích vyšších než u opic. </w:t>
      </w:r>
    </w:p>
    <w:p w14:paraId="06730CFA" w14:textId="77777777" w:rsidR="00554FFC" w:rsidRPr="00344835" w:rsidRDefault="00554FFC" w:rsidP="00554FFC">
      <w:pPr>
        <w:rPr>
          <w:b/>
          <w:i/>
          <w:lang w:val="pt-BR"/>
        </w:rPr>
      </w:pPr>
    </w:p>
    <w:p w14:paraId="06730CFB" w14:textId="77777777" w:rsidR="00554FFC" w:rsidRPr="00344835" w:rsidRDefault="00554FFC" w:rsidP="00554FFC">
      <w:pPr>
        <w:rPr>
          <w:u w:val="single"/>
          <w:lang w:val="pt-BR"/>
        </w:rPr>
      </w:pPr>
      <w:r w:rsidRPr="00344835">
        <w:rPr>
          <w:u w:val="single"/>
          <w:lang w:val="pt-BR"/>
        </w:rPr>
        <w:t>Účinek na epitelové tkáně</w:t>
      </w:r>
    </w:p>
    <w:p w14:paraId="06730CFC" w14:textId="77777777" w:rsidR="00554FFC" w:rsidRPr="00344835" w:rsidRDefault="00554FFC" w:rsidP="00554FFC">
      <w:pPr>
        <w:rPr>
          <w:b/>
          <w:i/>
          <w:lang w:val="pt-BR"/>
        </w:rPr>
      </w:pPr>
    </w:p>
    <w:p w14:paraId="06730CFD" w14:textId="77777777" w:rsidR="00554FFC" w:rsidRPr="00344835" w:rsidRDefault="00554FFC" w:rsidP="00554FFC">
      <w:pPr>
        <w:rPr>
          <w:lang w:val="pt-BR"/>
        </w:rPr>
      </w:pPr>
      <w:r w:rsidRPr="00344835">
        <w:rPr>
          <w:lang w:val="pt-BR"/>
        </w:rPr>
        <w:t>Podávání risdiplamu vyvolalo u potkanů a opic histologicky prokázané účinky na kůži, hrtan a oční víčka a trávicí trakt. Ke zjevným změnám začínalo docházet nejméně po 2 týdnech podávání vysokých dávek. Chronické podávání opicím po dobu 39 týdnů mělo NOAEL při expozici vyšší než 2násobek průměrné expozice při terapeutické dávce u člověka.</w:t>
      </w:r>
    </w:p>
    <w:p w14:paraId="06730CFE" w14:textId="77777777" w:rsidR="00554FFC" w:rsidRPr="00344835" w:rsidRDefault="00554FFC" w:rsidP="00554FFC">
      <w:pPr>
        <w:rPr>
          <w:b/>
          <w:i/>
          <w:lang w:val="pt-BR"/>
        </w:rPr>
      </w:pPr>
    </w:p>
    <w:p w14:paraId="06730CFF" w14:textId="77777777" w:rsidR="00554FFC" w:rsidRPr="00344835" w:rsidRDefault="00554FFC" w:rsidP="00554FFC">
      <w:pPr>
        <w:rPr>
          <w:u w:val="single"/>
          <w:lang w:val="pt-BR"/>
        </w:rPr>
      </w:pPr>
      <w:r w:rsidRPr="00344835">
        <w:rPr>
          <w:u w:val="single"/>
          <w:lang w:val="pt-BR"/>
        </w:rPr>
        <w:t>Účinek na hematologické parametry</w:t>
      </w:r>
    </w:p>
    <w:p w14:paraId="06730D00" w14:textId="77777777" w:rsidR="00554FFC" w:rsidRPr="00344835" w:rsidRDefault="00554FFC" w:rsidP="00554FFC">
      <w:pPr>
        <w:rPr>
          <w:lang w:val="pt-BR"/>
        </w:rPr>
      </w:pPr>
    </w:p>
    <w:p w14:paraId="06730D01" w14:textId="77777777" w:rsidR="00554FFC" w:rsidRPr="00344835" w:rsidRDefault="00554FFC" w:rsidP="007E394C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344835">
        <w:rPr>
          <w:color w:val="000000"/>
          <w:lang w:val="pt-BR"/>
        </w:rPr>
        <w:t xml:space="preserve">Akutní mikronukleární test kostní dřeně u potkanů po podávání vysokých dávek s expozicí vyšší než 15násobek průměrné expozice při terapeutické dávce u člověka prokázal více než 50% snížení poměru polychromních (mladých) a normochromních (dospělých) červených krvinek, které nasvědčuje podstatné toxicitě pro kostní dřeň. </w:t>
      </w:r>
      <w:r w:rsidR="007E394C" w:rsidRPr="00344835">
        <w:rPr>
          <w:color w:val="000000"/>
          <w:lang w:val="pt-BR"/>
        </w:rPr>
        <w:t>Při delším podávání potkanům po dobu 26 týdnů se expoziční rozpětí do NOAEL rovnala přibližně 4násobku průměrné expozice dosažené při terapeutické dávce u člověka.</w:t>
      </w:r>
    </w:p>
    <w:p w14:paraId="06730D02" w14:textId="77777777" w:rsidR="00981750" w:rsidRPr="00344835" w:rsidRDefault="00981750" w:rsidP="007E394C">
      <w:pPr>
        <w:rPr>
          <w:u w:val="single"/>
          <w:lang w:val="pt-BR"/>
        </w:rPr>
      </w:pPr>
    </w:p>
    <w:p w14:paraId="06730D03" w14:textId="77777777" w:rsidR="007E394C" w:rsidRPr="00344835" w:rsidRDefault="007E394C" w:rsidP="007E394C">
      <w:pPr>
        <w:rPr>
          <w:u w:val="single"/>
          <w:lang w:val="pt-BR"/>
        </w:rPr>
      </w:pPr>
      <w:r w:rsidRPr="00344835">
        <w:rPr>
          <w:u w:val="single"/>
          <w:lang w:val="pt-BR"/>
        </w:rPr>
        <w:t>Genotoxicita</w:t>
      </w:r>
    </w:p>
    <w:p w14:paraId="06730D04" w14:textId="77777777" w:rsidR="007E394C" w:rsidRPr="00344835" w:rsidRDefault="007E394C" w:rsidP="007E394C">
      <w:pPr>
        <w:rPr>
          <w:lang w:val="pt-BR"/>
        </w:rPr>
      </w:pPr>
    </w:p>
    <w:p w14:paraId="06730D05" w14:textId="5115DB0F" w:rsidR="007E394C" w:rsidRPr="00344835" w:rsidRDefault="007E394C" w:rsidP="007E394C">
      <w:pPr>
        <w:rPr>
          <w:lang w:val="pt-BR"/>
        </w:rPr>
      </w:pPr>
      <w:r w:rsidRPr="00344835">
        <w:rPr>
          <w:lang w:val="pt-BR"/>
        </w:rPr>
        <w:t xml:space="preserve">Risdiplam není mutagenní při bakteriálním reverzním mutačním vyšetření. Risdiplam zvyšuje četnost výskytu mikronukleárních buněk v savčích buňkách </w:t>
      </w:r>
      <w:r w:rsidRPr="00344835">
        <w:rPr>
          <w:i/>
          <w:lang w:val="pt-BR"/>
        </w:rPr>
        <w:t>in vitro</w:t>
      </w:r>
      <w:r w:rsidRPr="00344835">
        <w:rPr>
          <w:lang w:val="pt-BR"/>
        </w:rPr>
        <w:t xml:space="preserve"> a v kostní dřeni potkanů. Mikronukleární indukce v kostní dřeni byla zjištěna v několika studiích toxicity </w:t>
      </w:r>
      <w:r w:rsidR="002073F6">
        <w:rPr>
          <w:lang w:val="pt-BR"/>
        </w:rPr>
        <w:t>u</w:t>
      </w:r>
      <w:r w:rsidRPr="00344835">
        <w:rPr>
          <w:lang w:val="pt-BR"/>
        </w:rPr>
        <w:t xml:space="preserve"> </w:t>
      </w:r>
      <w:r w:rsidR="002073F6">
        <w:rPr>
          <w:lang w:val="pt-BR"/>
        </w:rPr>
        <w:t>potkanů</w:t>
      </w:r>
      <w:r w:rsidRPr="00344835">
        <w:rPr>
          <w:lang w:val="pt-BR"/>
        </w:rPr>
        <w:t xml:space="preserve"> (dospělých i juvenilních). NOAEL ve studiích souvis</w:t>
      </w:r>
      <w:r w:rsidR="004A0863" w:rsidRPr="00344835">
        <w:rPr>
          <w:lang w:val="pt-BR"/>
        </w:rPr>
        <w:t>í</w:t>
      </w:r>
      <w:r w:rsidRPr="00344835">
        <w:rPr>
          <w:lang w:val="pt-BR"/>
        </w:rPr>
        <w:t xml:space="preserve"> s expozicí rovnou přibližně 1,5násobné expozici při terapeutické dávce u člověka. Podle zjištěných údajů jde o nepřímý účinek vyvolaný narušením cyklu buněčného dělení risdiplamem. Risdiplam nemá potenciál k přímému poškození DNA.</w:t>
      </w:r>
    </w:p>
    <w:p w14:paraId="06730D06" w14:textId="77777777" w:rsidR="007E394C" w:rsidRPr="00344835" w:rsidRDefault="007E394C" w:rsidP="00C32ED0">
      <w:p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</w:p>
    <w:p w14:paraId="06730D07" w14:textId="77777777" w:rsidR="00D848CA" w:rsidRPr="00344835" w:rsidRDefault="00D848CA" w:rsidP="00D848CA">
      <w:pPr>
        <w:rPr>
          <w:u w:val="single"/>
          <w:lang w:val="pt-BR"/>
        </w:rPr>
      </w:pPr>
      <w:r w:rsidRPr="00344835">
        <w:rPr>
          <w:u w:val="single"/>
          <w:lang w:val="pt-BR"/>
        </w:rPr>
        <w:t>Reprodukční toxicita</w:t>
      </w:r>
    </w:p>
    <w:p w14:paraId="06730D08" w14:textId="77777777" w:rsidR="00D848CA" w:rsidRPr="00344835" w:rsidRDefault="00D848CA" w:rsidP="00D848CA">
      <w:pPr>
        <w:rPr>
          <w:lang w:val="pt-BR"/>
        </w:rPr>
      </w:pPr>
    </w:p>
    <w:p w14:paraId="06730D09" w14:textId="77777777" w:rsidR="00D848CA" w:rsidRPr="00344835" w:rsidRDefault="00D848CA" w:rsidP="00D848CA">
      <w:pPr>
        <w:rPr>
          <w:lang w:val="pt-BR"/>
        </w:rPr>
      </w:pPr>
      <w:r w:rsidRPr="00344835">
        <w:rPr>
          <w:lang w:val="pt-BR"/>
        </w:rPr>
        <w:t>Ve studiích březích potkanů byla po podání risdiplamu prokázána embryofetální toxicita s nižší hmotností plodu a opožděným vývojem. NO</w:t>
      </w:r>
      <w:r w:rsidR="00B302D4" w:rsidRPr="00344835">
        <w:rPr>
          <w:lang w:val="pt-BR"/>
        </w:rPr>
        <w:t>A</w:t>
      </w:r>
      <w:r w:rsidRPr="00344835">
        <w:rPr>
          <w:lang w:val="pt-BR"/>
        </w:rPr>
        <w:t xml:space="preserve">EL pro tento účinek byla přibližně </w:t>
      </w:r>
      <w:r w:rsidR="00772FC5" w:rsidRPr="00344835">
        <w:rPr>
          <w:lang w:val="pt-BR"/>
        </w:rPr>
        <w:t xml:space="preserve">2násobná </w:t>
      </w:r>
      <w:r w:rsidRPr="00344835">
        <w:rPr>
          <w:lang w:val="pt-BR"/>
        </w:rPr>
        <w:t>ve srovnání s expozicemi dosahovanými při užívání terapeutické dávky risdiplamu u </w:t>
      </w:r>
      <w:r w:rsidR="00260FA6" w:rsidRPr="00344835">
        <w:rPr>
          <w:lang w:val="pt-BR"/>
        </w:rPr>
        <w:t>pacientů</w:t>
      </w:r>
      <w:r w:rsidRPr="00344835">
        <w:rPr>
          <w:lang w:val="pt-BR"/>
        </w:rPr>
        <w:t>. Ve studiích s březími králíky byly zjištěny dysmorfogenní účinky při expozicích, které zároveň souvisely s toxicitou pro matku. Jednalo se o 4 (4 %) plody ze 4 (22 %) vrhů s hydrocefalem. NO</w:t>
      </w:r>
      <w:r w:rsidR="00B302D4" w:rsidRPr="00344835">
        <w:rPr>
          <w:lang w:val="pt-BR"/>
        </w:rPr>
        <w:t>A</w:t>
      </w:r>
      <w:r w:rsidRPr="00344835">
        <w:rPr>
          <w:lang w:val="pt-BR"/>
        </w:rPr>
        <w:t xml:space="preserve">EL byla přibližně </w:t>
      </w:r>
      <w:r w:rsidR="004515E8" w:rsidRPr="00344835">
        <w:rPr>
          <w:lang w:val="pt-BR"/>
        </w:rPr>
        <w:t xml:space="preserve">4násobná </w:t>
      </w:r>
      <w:r w:rsidRPr="00344835">
        <w:rPr>
          <w:lang w:val="pt-BR"/>
        </w:rPr>
        <w:t>ve srovnání s expozicemi dosahovanými při užívání terapeutické dávky risdiplamu u </w:t>
      </w:r>
      <w:r w:rsidR="004515E8" w:rsidRPr="00344835">
        <w:rPr>
          <w:lang w:val="pt-BR"/>
        </w:rPr>
        <w:t>pacientů</w:t>
      </w:r>
      <w:r w:rsidRPr="00344835">
        <w:rPr>
          <w:lang w:val="pt-BR"/>
        </w:rPr>
        <w:t xml:space="preserve">. </w:t>
      </w:r>
    </w:p>
    <w:p w14:paraId="06730D0A" w14:textId="77777777" w:rsidR="00D848CA" w:rsidRPr="00344835" w:rsidRDefault="00D848CA" w:rsidP="00D848CA">
      <w:pPr>
        <w:rPr>
          <w:lang w:val="pt-BR"/>
        </w:rPr>
      </w:pPr>
      <w:r w:rsidRPr="00344835">
        <w:rPr>
          <w:lang w:val="pt-BR"/>
        </w:rPr>
        <w:t xml:space="preserve">V pre- a postnatální </w:t>
      </w:r>
      <w:r w:rsidR="00F22C19" w:rsidRPr="00344835">
        <w:rPr>
          <w:lang w:val="pt-BR"/>
        </w:rPr>
        <w:t xml:space="preserve">vývojové </w:t>
      </w:r>
      <w:r w:rsidRPr="00344835">
        <w:rPr>
          <w:lang w:val="pt-BR"/>
        </w:rPr>
        <w:t>studii na potkanech s každodenním podáním risdiplamu vyvolal risdiplam mírné prodloužení gestace.</w:t>
      </w:r>
      <w:r w:rsidR="00573637" w:rsidRPr="00344835">
        <w:rPr>
          <w:lang w:val="pt-BR"/>
        </w:rPr>
        <w:t xml:space="preserve"> </w:t>
      </w:r>
      <w:r w:rsidRPr="00344835">
        <w:rPr>
          <w:lang w:val="pt-BR"/>
        </w:rPr>
        <w:t>Podle studi</w:t>
      </w:r>
      <w:r w:rsidR="004D58E0" w:rsidRPr="00344835">
        <w:rPr>
          <w:lang w:val="pt-BR"/>
        </w:rPr>
        <w:t>í</w:t>
      </w:r>
      <w:r w:rsidRPr="00344835">
        <w:rPr>
          <w:lang w:val="pt-BR"/>
        </w:rPr>
        <w:t xml:space="preserve"> březích a kojících samic potkanů prochází risdiplam placentou a vylučuje se do mléka.</w:t>
      </w:r>
    </w:p>
    <w:p w14:paraId="06730D0B" w14:textId="77777777" w:rsidR="00554FFC" w:rsidRPr="00344835" w:rsidRDefault="00554FFC">
      <w:pPr>
        <w:rPr>
          <w:lang w:val="pt-BR"/>
        </w:rPr>
      </w:pPr>
    </w:p>
    <w:p w14:paraId="06730D0C" w14:textId="77777777" w:rsidR="001263D0" w:rsidRPr="00344835" w:rsidRDefault="00835E4A">
      <w:pPr>
        <w:rPr>
          <w:u w:val="single"/>
          <w:lang w:val="pt-BR"/>
        </w:rPr>
      </w:pPr>
      <w:r w:rsidRPr="00344835">
        <w:rPr>
          <w:u w:val="single"/>
          <w:lang w:val="pt-BR"/>
        </w:rPr>
        <w:t>Kancerogenita</w:t>
      </w:r>
    </w:p>
    <w:p w14:paraId="06730D0D" w14:textId="77777777" w:rsidR="001263D0" w:rsidRPr="00344835" w:rsidRDefault="001263D0">
      <w:pPr>
        <w:rPr>
          <w:lang w:val="pt-BR"/>
        </w:rPr>
      </w:pPr>
    </w:p>
    <w:p w14:paraId="06730D0E" w14:textId="77777777" w:rsidR="001263D0" w:rsidRPr="00344835" w:rsidRDefault="00005D2E" w:rsidP="00005D2E">
      <w:pPr>
        <w:rPr>
          <w:lang w:val="pt-BR"/>
        </w:rPr>
      </w:pPr>
      <w:r w:rsidRPr="00344835">
        <w:rPr>
          <w:lang w:val="pt-BR"/>
        </w:rPr>
        <w:t>Probíhá dvouletá studie ka</w:t>
      </w:r>
      <w:r w:rsidR="003635D9" w:rsidRPr="00344835">
        <w:rPr>
          <w:lang w:val="pt-BR"/>
        </w:rPr>
        <w:t>ncero</w:t>
      </w:r>
      <w:r w:rsidRPr="00344835">
        <w:rPr>
          <w:lang w:val="pt-BR"/>
        </w:rPr>
        <w:t>genity s potkany. Studie s rasH2 transgenními myšmi se 6měsíční léčbou nepřinesla žádné důkazy tumorigenního potenciálu.</w:t>
      </w:r>
    </w:p>
    <w:p w14:paraId="06730D0F" w14:textId="77777777" w:rsidR="001263D0" w:rsidRPr="00344835" w:rsidRDefault="001263D0">
      <w:pPr>
        <w:rPr>
          <w:shd w:val="clear" w:color="auto" w:fill="BFBFBF"/>
          <w:lang w:val="pt-BR"/>
        </w:rPr>
      </w:pPr>
    </w:p>
    <w:p w14:paraId="06730D10" w14:textId="77777777" w:rsidR="001263D0" w:rsidRPr="00344835" w:rsidRDefault="00835E4A">
      <w:pPr>
        <w:rPr>
          <w:u w:val="single"/>
          <w:lang w:val="pt-BR"/>
        </w:rPr>
      </w:pPr>
      <w:r w:rsidRPr="00344835">
        <w:rPr>
          <w:u w:val="single"/>
          <w:lang w:val="pt-BR"/>
        </w:rPr>
        <w:t>Studie na juvenilních zvířatech</w:t>
      </w:r>
    </w:p>
    <w:p w14:paraId="06730D11" w14:textId="77777777" w:rsidR="001263D0" w:rsidRPr="00344835" w:rsidRDefault="001263D0">
      <w:pPr>
        <w:rPr>
          <w:lang w:val="pt-BR"/>
        </w:rPr>
      </w:pPr>
    </w:p>
    <w:p w14:paraId="06730D12" w14:textId="77777777" w:rsidR="001263D0" w:rsidRPr="00344835" w:rsidRDefault="008E4D3C" w:rsidP="00754479">
      <w:pPr>
        <w:rPr>
          <w:u w:val="single"/>
          <w:lang w:val="pt-BR"/>
        </w:rPr>
      </w:pPr>
      <w:r w:rsidRPr="00344835">
        <w:rPr>
          <w:lang w:val="pt-BR"/>
        </w:rPr>
        <w:t>Studie na juvenilních zvířatech neodhal</w:t>
      </w:r>
      <w:r w:rsidR="00AD6CA3" w:rsidRPr="00344835">
        <w:rPr>
          <w:lang w:val="pt-BR"/>
        </w:rPr>
        <w:t>ují</w:t>
      </w:r>
      <w:r w:rsidRPr="00344835">
        <w:rPr>
          <w:lang w:val="pt-BR"/>
        </w:rPr>
        <w:t xml:space="preserve"> žádné zvláštní riziko pro člověka.</w:t>
      </w:r>
    </w:p>
    <w:p w14:paraId="06730D13" w14:textId="77777777" w:rsidR="001263D0" w:rsidRPr="00344835" w:rsidRDefault="001263D0">
      <w:pPr>
        <w:rPr>
          <w:lang w:val="pt-BR"/>
        </w:rPr>
      </w:pPr>
    </w:p>
    <w:p w14:paraId="06730D14" w14:textId="77777777" w:rsidR="001263D0" w:rsidRPr="00344835" w:rsidRDefault="001263D0">
      <w:pPr>
        <w:rPr>
          <w:lang w:val="pt-BR"/>
        </w:rPr>
      </w:pPr>
    </w:p>
    <w:p w14:paraId="06730D15" w14:textId="77777777" w:rsidR="001263D0" w:rsidRPr="00344835" w:rsidRDefault="00835E4A">
      <w:pPr>
        <w:keepNext/>
        <w:keepLines/>
        <w:ind w:left="567" w:hanging="567"/>
        <w:rPr>
          <w:b/>
          <w:lang w:val="pt-BR"/>
        </w:rPr>
      </w:pPr>
      <w:r w:rsidRPr="00344835">
        <w:rPr>
          <w:b/>
          <w:lang w:val="pt-BR"/>
        </w:rPr>
        <w:t>6.</w:t>
      </w:r>
      <w:r w:rsidRPr="00344835">
        <w:rPr>
          <w:b/>
          <w:lang w:val="pt-BR"/>
        </w:rPr>
        <w:tab/>
        <w:t>FARMACEUTICKÉ ÚDAJE</w:t>
      </w:r>
    </w:p>
    <w:p w14:paraId="06730D16" w14:textId="77777777" w:rsidR="001263D0" w:rsidRPr="00344835" w:rsidRDefault="001263D0" w:rsidP="00960A95">
      <w:pPr>
        <w:keepNext/>
        <w:keepLines/>
        <w:rPr>
          <w:lang w:val="pt-BR"/>
        </w:rPr>
      </w:pPr>
    </w:p>
    <w:p w14:paraId="06730D17" w14:textId="77777777" w:rsidR="001263D0" w:rsidRPr="00344835" w:rsidRDefault="00835E4A" w:rsidP="00960A95">
      <w:pPr>
        <w:keepNext/>
        <w:keepLines/>
        <w:ind w:left="567" w:hanging="567"/>
        <w:rPr>
          <w:lang w:val="pt-BR"/>
        </w:rPr>
      </w:pPr>
      <w:r w:rsidRPr="00344835">
        <w:rPr>
          <w:b/>
          <w:lang w:val="pt-BR"/>
        </w:rPr>
        <w:t>6.1</w:t>
      </w:r>
      <w:r w:rsidRPr="00344835">
        <w:rPr>
          <w:b/>
          <w:lang w:val="pt-BR"/>
        </w:rPr>
        <w:tab/>
        <w:t>Seznam pomocných látek</w:t>
      </w:r>
    </w:p>
    <w:p w14:paraId="06730D18" w14:textId="77777777" w:rsidR="001263D0" w:rsidRPr="00344835" w:rsidRDefault="001263D0" w:rsidP="00960A95">
      <w:pPr>
        <w:keepNext/>
        <w:keepLines/>
        <w:rPr>
          <w:lang w:val="pt-BR"/>
        </w:rPr>
      </w:pPr>
    </w:p>
    <w:p w14:paraId="06730D19" w14:textId="77777777" w:rsidR="001263D0" w:rsidRPr="00344835" w:rsidRDefault="00835E4A" w:rsidP="00960A95">
      <w:pPr>
        <w:keepNext/>
        <w:keepLines/>
        <w:rPr>
          <w:lang w:val="pt-BR"/>
        </w:rPr>
      </w:pPr>
      <w:r w:rsidRPr="00344835">
        <w:rPr>
          <w:lang w:val="pt-BR"/>
        </w:rPr>
        <w:t>mannitol (E 421)</w:t>
      </w:r>
    </w:p>
    <w:p w14:paraId="06730D1A" w14:textId="77777777" w:rsidR="001263D0" w:rsidRPr="00344835" w:rsidRDefault="00835E4A" w:rsidP="00960A95">
      <w:pPr>
        <w:keepNext/>
        <w:keepLines/>
        <w:rPr>
          <w:lang w:val="pt-BR"/>
        </w:rPr>
      </w:pPr>
      <w:r w:rsidRPr="00344835">
        <w:rPr>
          <w:lang w:val="pt-BR"/>
        </w:rPr>
        <w:t>isomalt</w:t>
      </w:r>
      <w:r w:rsidR="00005D2E" w:rsidRPr="00344835">
        <w:rPr>
          <w:lang w:val="pt-BR"/>
        </w:rPr>
        <w:t xml:space="preserve"> (</w:t>
      </w:r>
      <w:r w:rsidR="009D7F57" w:rsidRPr="00344835">
        <w:rPr>
          <w:lang w:val="pt-BR"/>
        </w:rPr>
        <w:t>E</w:t>
      </w:r>
      <w:r w:rsidR="00005D2E" w:rsidRPr="00344835">
        <w:rPr>
          <w:lang w:val="pt-BR"/>
        </w:rPr>
        <w:t xml:space="preserve"> 953)</w:t>
      </w:r>
    </w:p>
    <w:p w14:paraId="06730D1B" w14:textId="77777777" w:rsidR="001263D0" w:rsidRPr="00344835" w:rsidRDefault="00835E4A" w:rsidP="00960A95">
      <w:pPr>
        <w:keepNext/>
        <w:keepLines/>
        <w:rPr>
          <w:lang w:val="pt-BR"/>
        </w:rPr>
      </w:pPr>
      <w:r w:rsidRPr="00344835">
        <w:rPr>
          <w:lang w:val="pt-BR"/>
        </w:rPr>
        <w:t>jahodové aroma</w:t>
      </w:r>
    </w:p>
    <w:p w14:paraId="06730D1C" w14:textId="77777777" w:rsidR="001263D0" w:rsidRPr="00344835" w:rsidRDefault="00835E4A" w:rsidP="00960A95">
      <w:pPr>
        <w:keepNext/>
        <w:keepLines/>
        <w:rPr>
          <w:lang w:val="pt-BR"/>
        </w:rPr>
      </w:pPr>
      <w:r w:rsidRPr="00344835">
        <w:rPr>
          <w:lang w:val="pt-BR"/>
        </w:rPr>
        <w:t>kyselina vinná (E 334)</w:t>
      </w:r>
    </w:p>
    <w:p w14:paraId="06730D1D" w14:textId="77777777" w:rsidR="001263D0" w:rsidRPr="00344835" w:rsidRDefault="00835E4A" w:rsidP="00960A95">
      <w:pPr>
        <w:keepNext/>
        <w:keepLines/>
        <w:rPr>
          <w:lang w:val="pt-BR"/>
        </w:rPr>
      </w:pPr>
      <w:r w:rsidRPr="00344835">
        <w:rPr>
          <w:lang w:val="pt-BR"/>
        </w:rPr>
        <w:t>natrium-benzoát (E 211)</w:t>
      </w:r>
    </w:p>
    <w:p w14:paraId="06730D1E" w14:textId="4E81B4E0" w:rsidR="001263D0" w:rsidRPr="00344835" w:rsidRDefault="00835E4A">
      <w:pPr>
        <w:rPr>
          <w:lang w:val="pt-BR"/>
        </w:rPr>
      </w:pPr>
      <w:r w:rsidRPr="00344835">
        <w:rPr>
          <w:lang w:val="pt-BR"/>
        </w:rPr>
        <w:t>makrogol</w:t>
      </w:r>
      <w:r w:rsidR="0033057E">
        <w:rPr>
          <w:lang w:val="pt-BR"/>
        </w:rPr>
        <w:t xml:space="preserve"> (</w:t>
      </w:r>
      <w:r w:rsidRPr="00344835">
        <w:rPr>
          <w:lang w:val="pt-BR"/>
        </w:rPr>
        <w:t>polyethylenglykol 6000</w:t>
      </w:r>
      <w:r w:rsidR="0033057E">
        <w:rPr>
          <w:lang w:val="pt-BR"/>
        </w:rPr>
        <w:t>)</w:t>
      </w:r>
    </w:p>
    <w:p w14:paraId="06730D1F" w14:textId="77777777" w:rsidR="001263D0" w:rsidRPr="00344835" w:rsidRDefault="00835E4A">
      <w:pPr>
        <w:rPr>
          <w:lang w:val="pt-BR"/>
        </w:rPr>
      </w:pPr>
      <w:r w:rsidRPr="00344835">
        <w:rPr>
          <w:lang w:val="pt-BR"/>
        </w:rPr>
        <w:t>sukralóza</w:t>
      </w:r>
    </w:p>
    <w:p w14:paraId="06730D20" w14:textId="77777777" w:rsidR="001263D0" w:rsidRPr="00344835" w:rsidRDefault="00835E4A">
      <w:pPr>
        <w:rPr>
          <w:lang w:val="pt-BR"/>
        </w:rPr>
      </w:pPr>
      <w:r w:rsidRPr="00344835">
        <w:rPr>
          <w:lang w:val="pt-BR"/>
        </w:rPr>
        <w:t>kyselina askorbová (E 300)</w:t>
      </w:r>
    </w:p>
    <w:p w14:paraId="06730D21" w14:textId="124BCE9C" w:rsidR="001263D0" w:rsidRPr="00344835" w:rsidRDefault="00835E4A">
      <w:pPr>
        <w:rPr>
          <w:lang w:val="pt-BR"/>
        </w:rPr>
      </w:pPr>
      <w:r w:rsidRPr="00344835">
        <w:rPr>
          <w:lang w:val="pt-BR"/>
        </w:rPr>
        <w:t xml:space="preserve">dihydrát </w:t>
      </w:r>
      <w:r w:rsidR="0033057E">
        <w:rPr>
          <w:lang w:val="pt-BR"/>
        </w:rPr>
        <w:t>dinatrium-</w:t>
      </w:r>
      <w:r w:rsidRPr="00344835">
        <w:rPr>
          <w:lang w:val="pt-BR"/>
        </w:rPr>
        <w:t>edetátu</w:t>
      </w:r>
    </w:p>
    <w:p w14:paraId="06730D22" w14:textId="77777777" w:rsidR="001263D0" w:rsidRPr="00344835" w:rsidRDefault="001263D0">
      <w:pPr>
        <w:rPr>
          <w:highlight w:val="yellow"/>
          <w:lang w:val="pt-BR"/>
        </w:rPr>
      </w:pPr>
    </w:p>
    <w:p w14:paraId="06730D23" w14:textId="77777777" w:rsidR="001263D0" w:rsidRPr="00344835" w:rsidRDefault="00835E4A">
      <w:pPr>
        <w:ind w:left="567" w:hanging="567"/>
        <w:rPr>
          <w:lang w:val="pt-BR"/>
        </w:rPr>
      </w:pPr>
      <w:r w:rsidRPr="00344835">
        <w:rPr>
          <w:b/>
          <w:lang w:val="pt-BR"/>
        </w:rPr>
        <w:t>6.2</w:t>
      </w:r>
      <w:r w:rsidRPr="00344835">
        <w:rPr>
          <w:b/>
          <w:lang w:val="pt-BR"/>
        </w:rPr>
        <w:tab/>
        <w:t>Inkompatibility</w:t>
      </w:r>
    </w:p>
    <w:p w14:paraId="06730D24" w14:textId="77777777" w:rsidR="001263D0" w:rsidRPr="00344835" w:rsidRDefault="001263D0">
      <w:pPr>
        <w:rPr>
          <w:lang w:val="pt-BR"/>
        </w:rPr>
      </w:pPr>
    </w:p>
    <w:p w14:paraId="06730D25" w14:textId="77777777" w:rsidR="001263D0" w:rsidRPr="00344835" w:rsidRDefault="00754479">
      <w:pPr>
        <w:rPr>
          <w:lang w:val="pt-BR"/>
        </w:rPr>
      </w:pPr>
      <w:r w:rsidRPr="00344835">
        <w:rPr>
          <w:lang w:val="pt-BR"/>
        </w:rPr>
        <w:t>Neuplatňuj</w:t>
      </w:r>
      <w:r w:rsidR="00D9706B" w:rsidRPr="00344835">
        <w:rPr>
          <w:lang w:val="pt-BR"/>
        </w:rPr>
        <w:t>e</w:t>
      </w:r>
      <w:r w:rsidRPr="00344835">
        <w:rPr>
          <w:lang w:val="pt-BR"/>
        </w:rPr>
        <w:t xml:space="preserve"> se.</w:t>
      </w:r>
    </w:p>
    <w:p w14:paraId="06730D26" w14:textId="77777777" w:rsidR="001263D0" w:rsidRPr="00344835" w:rsidRDefault="001263D0">
      <w:pPr>
        <w:rPr>
          <w:lang w:val="pt-BR"/>
        </w:rPr>
      </w:pPr>
    </w:p>
    <w:p w14:paraId="06730D27" w14:textId="77777777" w:rsidR="001263D0" w:rsidRPr="00344835" w:rsidRDefault="00835E4A">
      <w:pPr>
        <w:ind w:left="567" w:hanging="567"/>
        <w:rPr>
          <w:lang w:val="pt-BR"/>
        </w:rPr>
      </w:pPr>
      <w:r w:rsidRPr="00344835">
        <w:rPr>
          <w:b/>
          <w:lang w:val="pt-BR"/>
        </w:rPr>
        <w:t>6.3</w:t>
      </w:r>
      <w:r w:rsidRPr="00344835">
        <w:rPr>
          <w:b/>
          <w:lang w:val="pt-BR"/>
        </w:rPr>
        <w:tab/>
        <w:t>Doba použitelnosti</w:t>
      </w:r>
    </w:p>
    <w:p w14:paraId="06730D28" w14:textId="77777777" w:rsidR="001263D0" w:rsidRPr="00344835" w:rsidRDefault="001263D0">
      <w:pPr>
        <w:rPr>
          <w:lang w:val="pt-BR"/>
        </w:rPr>
      </w:pPr>
    </w:p>
    <w:p w14:paraId="06730D29" w14:textId="77777777" w:rsidR="001263D0" w:rsidRPr="00344835" w:rsidRDefault="00835E4A">
      <w:pPr>
        <w:rPr>
          <w:u w:val="single"/>
          <w:lang w:val="pt-BR"/>
        </w:rPr>
      </w:pPr>
      <w:r w:rsidRPr="00344835">
        <w:rPr>
          <w:u w:val="single"/>
          <w:lang w:val="pt-BR"/>
        </w:rPr>
        <w:t xml:space="preserve">Prášek pro perorální roztok </w:t>
      </w:r>
    </w:p>
    <w:p w14:paraId="06730D2A" w14:textId="77777777" w:rsidR="001263D0" w:rsidRPr="00344835" w:rsidRDefault="001263D0">
      <w:pPr>
        <w:rPr>
          <w:lang w:val="pt-BR"/>
        </w:rPr>
      </w:pPr>
    </w:p>
    <w:p w14:paraId="06730D2B" w14:textId="77777777" w:rsidR="001263D0" w:rsidRPr="00344835" w:rsidRDefault="00835E4A">
      <w:pPr>
        <w:rPr>
          <w:lang w:val="pt-BR"/>
        </w:rPr>
      </w:pPr>
      <w:r w:rsidRPr="00344835">
        <w:rPr>
          <w:lang w:val="pt-BR"/>
        </w:rPr>
        <w:t>2 roky</w:t>
      </w:r>
    </w:p>
    <w:p w14:paraId="06730D2C" w14:textId="77777777" w:rsidR="001263D0" w:rsidRPr="00344835" w:rsidRDefault="001263D0">
      <w:pPr>
        <w:rPr>
          <w:lang w:val="pt-BR"/>
        </w:rPr>
      </w:pPr>
    </w:p>
    <w:p w14:paraId="06730D2D" w14:textId="77777777" w:rsidR="001263D0" w:rsidRPr="00344835" w:rsidRDefault="00835E4A">
      <w:pPr>
        <w:rPr>
          <w:u w:val="single"/>
          <w:lang w:val="pt-BR"/>
        </w:rPr>
      </w:pPr>
      <w:r w:rsidRPr="00344835">
        <w:rPr>
          <w:u w:val="single"/>
          <w:lang w:val="pt-BR"/>
        </w:rPr>
        <w:t xml:space="preserve">Rekonstituovaný perorální roztok </w:t>
      </w:r>
    </w:p>
    <w:p w14:paraId="06730D2E" w14:textId="77777777" w:rsidR="001263D0" w:rsidRPr="00344835" w:rsidRDefault="001263D0">
      <w:pPr>
        <w:rPr>
          <w:lang w:val="pt-BR"/>
        </w:rPr>
      </w:pPr>
    </w:p>
    <w:p w14:paraId="06730D2F" w14:textId="77777777" w:rsidR="001263D0" w:rsidRPr="00344835" w:rsidRDefault="00835E4A">
      <w:pPr>
        <w:rPr>
          <w:lang w:val="pt-BR"/>
        </w:rPr>
      </w:pPr>
      <w:r w:rsidRPr="00344835">
        <w:rPr>
          <w:lang w:val="pt-BR"/>
        </w:rPr>
        <w:t>64 dnů při uchovávání v chladničce (2 °C </w:t>
      </w:r>
      <w:r w:rsidR="00005D2E" w:rsidRPr="00344835">
        <w:rPr>
          <w:lang w:val="pt-BR"/>
        </w:rPr>
        <w:t>až</w:t>
      </w:r>
      <w:r w:rsidR="008C7FDE" w:rsidRPr="00344835">
        <w:rPr>
          <w:lang w:val="pt-BR"/>
        </w:rPr>
        <w:t xml:space="preserve"> </w:t>
      </w:r>
      <w:r w:rsidRPr="00344835">
        <w:rPr>
          <w:lang w:val="pt-BR"/>
        </w:rPr>
        <w:t>8 °C)</w:t>
      </w:r>
      <w:r w:rsidR="00482306" w:rsidRPr="00344835">
        <w:rPr>
          <w:lang w:val="pt-BR"/>
        </w:rPr>
        <w:t>.</w:t>
      </w:r>
      <w:r w:rsidRPr="00344835">
        <w:rPr>
          <w:lang w:val="pt-BR"/>
        </w:rPr>
        <w:t xml:space="preserve"> </w:t>
      </w:r>
    </w:p>
    <w:p w14:paraId="06730D30" w14:textId="77777777" w:rsidR="001263D0" w:rsidRPr="00344835" w:rsidRDefault="001263D0">
      <w:pPr>
        <w:rPr>
          <w:lang w:val="pt-BR"/>
        </w:rPr>
      </w:pPr>
    </w:p>
    <w:p w14:paraId="06730D31" w14:textId="77777777" w:rsidR="001263D0" w:rsidRPr="00344835" w:rsidRDefault="00835E4A">
      <w:pPr>
        <w:ind w:left="567" w:hanging="567"/>
        <w:rPr>
          <w:b/>
          <w:lang w:val="pt-BR"/>
        </w:rPr>
      </w:pPr>
      <w:r w:rsidRPr="00344835">
        <w:rPr>
          <w:b/>
          <w:lang w:val="pt-BR"/>
        </w:rPr>
        <w:t>6.4</w:t>
      </w:r>
      <w:r w:rsidRPr="00344835">
        <w:rPr>
          <w:b/>
          <w:lang w:val="pt-BR"/>
        </w:rPr>
        <w:tab/>
        <w:t>Zvláštní opatření pro uchovávání</w:t>
      </w:r>
    </w:p>
    <w:p w14:paraId="06730D32" w14:textId="77777777" w:rsidR="001263D0" w:rsidRPr="00344835" w:rsidRDefault="001263D0">
      <w:pPr>
        <w:ind w:left="567" w:hanging="567"/>
        <w:rPr>
          <w:lang w:val="pt-BR"/>
        </w:rPr>
      </w:pPr>
    </w:p>
    <w:p w14:paraId="06730D33" w14:textId="77777777" w:rsidR="001263D0" w:rsidRPr="00344835" w:rsidRDefault="00835E4A">
      <w:pPr>
        <w:rPr>
          <w:u w:val="single"/>
          <w:lang w:val="pt-BR"/>
        </w:rPr>
      </w:pPr>
      <w:r w:rsidRPr="00344835">
        <w:rPr>
          <w:u w:val="single"/>
          <w:lang w:val="pt-BR"/>
        </w:rPr>
        <w:t xml:space="preserve">Prášek pro perorální roztok </w:t>
      </w:r>
    </w:p>
    <w:p w14:paraId="06730D34" w14:textId="77777777" w:rsidR="001263D0" w:rsidRPr="00344835" w:rsidRDefault="001263D0">
      <w:pPr>
        <w:rPr>
          <w:u w:val="single"/>
          <w:lang w:val="pt-BR"/>
        </w:rPr>
      </w:pPr>
    </w:p>
    <w:p w14:paraId="06730D35" w14:textId="0141F71D" w:rsidR="001263D0" w:rsidRPr="00344835" w:rsidRDefault="00CD366F">
      <w:pPr>
        <w:rPr>
          <w:lang w:val="pt-BR"/>
        </w:rPr>
      </w:pPr>
      <w:r w:rsidRPr="00344835">
        <w:rPr>
          <w:lang w:val="pt-BR"/>
        </w:rPr>
        <w:t xml:space="preserve">Uchovávejte </w:t>
      </w:r>
      <w:r w:rsidR="00835E4A" w:rsidRPr="00344835">
        <w:rPr>
          <w:lang w:val="pt-BR"/>
        </w:rPr>
        <w:t>v původní jantarov</w:t>
      </w:r>
      <w:r w:rsidR="00923B38">
        <w:rPr>
          <w:lang w:val="pt-BR"/>
        </w:rPr>
        <w:t>ě hnědé</w:t>
      </w:r>
      <w:r w:rsidR="00835E4A" w:rsidRPr="00344835">
        <w:rPr>
          <w:lang w:val="pt-BR"/>
        </w:rPr>
        <w:t xml:space="preserve"> </w:t>
      </w:r>
      <w:r w:rsidR="00D9706B" w:rsidRPr="00344835">
        <w:rPr>
          <w:lang w:val="pt-BR"/>
        </w:rPr>
        <w:t xml:space="preserve">skleněné </w:t>
      </w:r>
      <w:r w:rsidR="00835E4A" w:rsidRPr="00344835">
        <w:rPr>
          <w:lang w:val="pt-BR"/>
        </w:rPr>
        <w:t>lahvičce</w:t>
      </w:r>
      <w:r w:rsidRPr="00344835">
        <w:rPr>
          <w:lang w:val="pt-BR"/>
        </w:rPr>
        <w:t>, aby byl přípravek chráněn před světlem</w:t>
      </w:r>
      <w:r w:rsidR="00835E4A" w:rsidRPr="00344835">
        <w:rPr>
          <w:lang w:val="pt-BR"/>
        </w:rPr>
        <w:t>.</w:t>
      </w:r>
    </w:p>
    <w:p w14:paraId="06730D36" w14:textId="77777777" w:rsidR="001263D0" w:rsidRPr="00344835" w:rsidRDefault="001263D0">
      <w:pPr>
        <w:rPr>
          <w:u w:val="single"/>
          <w:lang w:val="pt-BR"/>
        </w:rPr>
      </w:pPr>
    </w:p>
    <w:p w14:paraId="06730D37" w14:textId="77777777" w:rsidR="001263D0" w:rsidRPr="00344835" w:rsidRDefault="00835E4A">
      <w:pPr>
        <w:rPr>
          <w:u w:val="single"/>
          <w:lang w:val="pt-BR"/>
        </w:rPr>
      </w:pPr>
      <w:r w:rsidRPr="00344835">
        <w:rPr>
          <w:u w:val="single"/>
          <w:lang w:val="pt-BR"/>
        </w:rPr>
        <w:t xml:space="preserve">Rekonstituovaný perorální roztok </w:t>
      </w:r>
    </w:p>
    <w:p w14:paraId="06730D38" w14:textId="77777777" w:rsidR="001263D0" w:rsidRPr="00344835" w:rsidRDefault="001263D0">
      <w:pPr>
        <w:rPr>
          <w:lang w:val="pt-BR"/>
        </w:rPr>
      </w:pPr>
    </w:p>
    <w:p w14:paraId="06730D39" w14:textId="77777777" w:rsidR="001263D0" w:rsidRPr="00344835" w:rsidRDefault="00D45DEC">
      <w:pPr>
        <w:rPr>
          <w:lang w:val="pt-BR"/>
        </w:rPr>
      </w:pPr>
      <w:r w:rsidRPr="00344835">
        <w:rPr>
          <w:lang w:val="pt-BR"/>
        </w:rPr>
        <w:t xml:space="preserve">Podmínky uchovávání </w:t>
      </w:r>
      <w:r w:rsidR="00A47496" w:rsidRPr="00344835">
        <w:rPr>
          <w:lang w:val="pt-BR"/>
        </w:rPr>
        <w:t xml:space="preserve">tohoto léčivého přípravku </w:t>
      </w:r>
      <w:r w:rsidRPr="00344835">
        <w:rPr>
          <w:lang w:val="pt-BR"/>
        </w:rPr>
        <w:t xml:space="preserve">po </w:t>
      </w:r>
      <w:r w:rsidR="00A47496" w:rsidRPr="00344835">
        <w:rPr>
          <w:lang w:val="pt-BR"/>
        </w:rPr>
        <w:t xml:space="preserve">jeho </w:t>
      </w:r>
      <w:r w:rsidRPr="00344835">
        <w:rPr>
          <w:lang w:val="pt-BR"/>
        </w:rPr>
        <w:t>rekonstituci jsou uvedeny v bodě 6.3.</w:t>
      </w:r>
    </w:p>
    <w:p w14:paraId="06730D3A" w14:textId="5AB1CF1A" w:rsidR="001263D0" w:rsidRPr="00344835" w:rsidRDefault="00E70B85">
      <w:pPr>
        <w:rPr>
          <w:lang w:val="pt-BR"/>
        </w:rPr>
      </w:pPr>
      <w:r w:rsidRPr="00344835">
        <w:rPr>
          <w:lang w:val="pt-BR"/>
        </w:rPr>
        <w:t>Uchovávejte p</w:t>
      </w:r>
      <w:r w:rsidR="00835E4A" w:rsidRPr="00344835">
        <w:rPr>
          <w:lang w:val="pt-BR"/>
        </w:rPr>
        <w:t>erorální roztok v původní jantarov</w:t>
      </w:r>
      <w:r w:rsidR="00923B38">
        <w:rPr>
          <w:lang w:val="pt-BR"/>
        </w:rPr>
        <w:t>ě hnědé</w:t>
      </w:r>
      <w:r w:rsidR="00835E4A" w:rsidRPr="00344835">
        <w:rPr>
          <w:lang w:val="pt-BR"/>
        </w:rPr>
        <w:t xml:space="preserve"> </w:t>
      </w:r>
      <w:r w:rsidR="00D45DEC" w:rsidRPr="00344835">
        <w:rPr>
          <w:lang w:val="pt-BR"/>
        </w:rPr>
        <w:t xml:space="preserve">skleněné </w:t>
      </w:r>
      <w:r w:rsidR="00835E4A" w:rsidRPr="00344835">
        <w:rPr>
          <w:lang w:val="pt-BR"/>
        </w:rPr>
        <w:t>lahvičce</w:t>
      </w:r>
      <w:r w:rsidRPr="00344835">
        <w:rPr>
          <w:lang w:val="pt-BR"/>
        </w:rPr>
        <w:t>, aby byl přípravek chráněn před světlem,</w:t>
      </w:r>
      <w:r w:rsidR="00835E4A" w:rsidRPr="00344835">
        <w:rPr>
          <w:lang w:val="pt-BR"/>
        </w:rPr>
        <w:t xml:space="preserve"> a lahvičku vždy uchovávejte ve svislé poloze dobře uzavřenou víčkem.</w:t>
      </w:r>
    </w:p>
    <w:p w14:paraId="06730D3B" w14:textId="77777777" w:rsidR="001263D0" w:rsidRPr="00344835" w:rsidRDefault="001263D0">
      <w:pPr>
        <w:rPr>
          <w:lang w:val="pt-BR"/>
        </w:rPr>
      </w:pPr>
    </w:p>
    <w:p w14:paraId="06730D3C" w14:textId="77777777" w:rsidR="001263D0" w:rsidRPr="00344835" w:rsidRDefault="00835E4A">
      <w:pPr>
        <w:ind w:left="567" w:hanging="567"/>
        <w:rPr>
          <w:b/>
          <w:lang w:val="pt-BR"/>
        </w:rPr>
      </w:pPr>
      <w:r w:rsidRPr="00344835">
        <w:rPr>
          <w:b/>
          <w:lang w:val="pt-BR"/>
        </w:rPr>
        <w:t>6.5</w:t>
      </w:r>
      <w:r w:rsidRPr="00344835">
        <w:rPr>
          <w:b/>
          <w:lang w:val="pt-BR"/>
        </w:rPr>
        <w:tab/>
        <w:t xml:space="preserve">Druh obalu a obsah balení  </w:t>
      </w:r>
    </w:p>
    <w:p w14:paraId="06730D3D" w14:textId="77777777" w:rsidR="001263D0" w:rsidRPr="00344835" w:rsidRDefault="001263D0">
      <w:pPr>
        <w:ind w:left="567" w:hanging="567"/>
        <w:rPr>
          <w:b/>
          <w:lang w:val="pt-BR"/>
        </w:rPr>
      </w:pPr>
    </w:p>
    <w:p w14:paraId="06730D3E" w14:textId="496E637B" w:rsidR="001263D0" w:rsidRPr="00344835" w:rsidRDefault="00F642E2">
      <w:pPr>
        <w:rPr>
          <w:lang w:val="pt-BR"/>
        </w:rPr>
      </w:pPr>
      <w:r w:rsidRPr="00344835">
        <w:rPr>
          <w:lang w:val="pt-BR"/>
        </w:rPr>
        <w:t>J</w:t>
      </w:r>
      <w:r w:rsidR="00250ABF" w:rsidRPr="00344835">
        <w:rPr>
          <w:lang w:val="pt-BR"/>
        </w:rPr>
        <w:t>antarov</w:t>
      </w:r>
      <w:r w:rsidR="00923B38">
        <w:rPr>
          <w:lang w:val="pt-BR"/>
        </w:rPr>
        <w:t>ě hnědá</w:t>
      </w:r>
      <w:r w:rsidR="00250ABF" w:rsidRPr="00344835">
        <w:rPr>
          <w:lang w:val="pt-BR"/>
        </w:rPr>
        <w:t xml:space="preserve"> skleněn</w:t>
      </w:r>
      <w:r w:rsidRPr="00344835">
        <w:rPr>
          <w:lang w:val="pt-BR"/>
        </w:rPr>
        <w:t>á</w:t>
      </w:r>
      <w:r w:rsidR="00250ABF" w:rsidRPr="00344835">
        <w:rPr>
          <w:lang w:val="pt-BR"/>
        </w:rPr>
        <w:t xml:space="preserve"> lahvič</w:t>
      </w:r>
      <w:r w:rsidRPr="00344835">
        <w:rPr>
          <w:lang w:val="pt-BR"/>
        </w:rPr>
        <w:t xml:space="preserve">ka </w:t>
      </w:r>
      <w:r w:rsidR="00923B38">
        <w:rPr>
          <w:lang w:val="pt-BR"/>
        </w:rPr>
        <w:t>třídy</w:t>
      </w:r>
      <w:r w:rsidRPr="00344835">
        <w:rPr>
          <w:lang w:val="pt-BR"/>
        </w:rPr>
        <w:t> III s</w:t>
      </w:r>
      <w:r w:rsidR="00297175" w:rsidRPr="00344835">
        <w:rPr>
          <w:lang w:val="pt-BR"/>
        </w:rPr>
        <w:t> </w:t>
      </w:r>
      <w:r w:rsidR="00923B38" w:rsidRPr="00721B88">
        <w:rPr>
          <w:lang w:val="pt-BR"/>
        </w:rPr>
        <w:t>dětským bezpečnostním šroubovacím uzávěrem garantujícím neporušenost obalu</w:t>
      </w:r>
      <w:r w:rsidR="00250ABF" w:rsidRPr="00344835">
        <w:rPr>
          <w:lang w:val="pt-BR"/>
        </w:rPr>
        <w:t>.</w:t>
      </w:r>
    </w:p>
    <w:p w14:paraId="06730D3F" w14:textId="77777777" w:rsidR="001263D0" w:rsidRPr="00344835" w:rsidRDefault="001263D0">
      <w:pPr>
        <w:rPr>
          <w:lang w:val="pt-BR"/>
        </w:rPr>
      </w:pPr>
    </w:p>
    <w:p w14:paraId="06730D40" w14:textId="0F2ACE55" w:rsidR="001263D0" w:rsidRPr="00344835" w:rsidRDefault="00835E4A">
      <w:pPr>
        <w:rPr>
          <w:lang w:val="pt-BR"/>
        </w:rPr>
      </w:pPr>
      <w:r w:rsidRPr="00344835">
        <w:rPr>
          <w:lang w:val="pt-BR"/>
        </w:rPr>
        <w:t xml:space="preserve">Jedna krabička obsahuje jednu lahvičku, jeden </w:t>
      </w:r>
      <w:r w:rsidR="00BC3B04" w:rsidRPr="00721B88">
        <w:rPr>
          <w:lang w:val="pt-BR"/>
        </w:rPr>
        <w:t>vtlačovací</w:t>
      </w:r>
      <w:r w:rsidR="00BC3B04" w:rsidRPr="00344835">
        <w:rPr>
          <w:lang w:val="pt-BR"/>
        </w:rPr>
        <w:t xml:space="preserve"> </w:t>
      </w:r>
      <w:r w:rsidRPr="00344835">
        <w:rPr>
          <w:lang w:val="pt-BR"/>
        </w:rPr>
        <w:t xml:space="preserve">adaptér </w:t>
      </w:r>
      <w:r w:rsidR="00BC3B04">
        <w:rPr>
          <w:lang w:val="pt-BR"/>
        </w:rPr>
        <w:t>do lahvičky</w:t>
      </w:r>
      <w:r w:rsidRPr="00344835">
        <w:rPr>
          <w:lang w:val="pt-BR"/>
        </w:rPr>
        <w:t xml:space="preserve">, dvě </w:t>
      </w:r>
      <w:r w:rsidR="00DF3DD7" w:rsidRPr="00344835">
        <w:rPr>
          <w:lang w:val="pt-BR"/>
        </w:rPr>
        <w:t xml:space="preserve">6ml a dvě 12ml </w:t>
      </w:r>
      <w:r w:rsidR="00E477D2" w:rsidRPr="00344835">
        <w:rPr>
          <w:lang w:val="pt-BR"/>
        </w:rPr>
        <w:t>jantarov</w:t>
      </w:r>
      <w:r w:rsidR="00BC3B04">
        <w:rPr>
          <w:lang w:val="pt-BR"/>
        </w:rPr>
        <w:t>ě hnědé</w:t>
      </w:r>
      <w:r w:rsidRPr="00344835">
        <w:rPr>
          <w:lang w:val="pt-BR"/>
        </w:rPr>
        <w:t xml:space="preserve"> stříkačky pro </w:t>
      </w:r>
      <w:r w:rsidR="00BC3B04" w:rsidRPr="00721B88">
        <w:rPr>
          <w:lang w:val="pt-BR"/>
        </w:rPr>
        <w:t xml:space="preserve">perorální podání se stupnicí pro </w:t>
      </w:r>
      <w:r w:rsidRPr="00344835">
        <w:rPr>
          <w:lang w:val="pt-BR"/>
        </w:rPr>
        <w:t>opakované použití.</w:t>
      </w:r>
    </w:p>
    <w:p w14:paraId="06730D41" w14:textId="77777777" w:rsidR="001263D0" w:rsidRPr="00344835" w:rsidRDefault="001263D0">
      <w:pPr>
        <w:rPr>
          <w:lang w:val="pt-BR"/>
        </w:rPr>
      </w:pPr>
    </w:p>
    <w:p w14:paraId="06730D42" w14:textId="77777777" w:rsidR="001263D0" w:rsidRPr="00344835" w:rsidRDefault="00835E4A" w:rsidP="00721B88">
      <w:pPr>
        <w:keepNext/>
        <w:keepLines/>
        <w:ind w:left="567" w:hanging="567"/>
        <w:rPr>
          <w:lang w:val="pt-BR"/>
        </w:rPr>
      </w:pPr>
      <w:bookmarkStart w:id="3" w:name="1fob9te" w:colFirst="0" w:colLast="0"/>
      <w:bookmarkEnd w:id="3"/>
      <w:r w:rsidRPr="00344835">
        <w:rPr>
          <w:b/>
          <w:lang w:val="pt-BR"/>
        </w:rPr>
        <w:lastRenderedPageBreak/>
        <w:t>6.6</w:t>
      </w:r>
      <w:r w:rsidRPr="00344835">
        <w:rPr>
          <w:b/>
          <w:lang w:val="pt-BR"/>
        </w:rPr>
        <w:tab/>
        <w:t>Zvláštní opatření pro likvidaci přípravku a pro zacházení s ním</w:t>
      </w:r>
    </w:p>
    <w:p w14:paraId="06730D43" w14:textId="77777777" w:rsidR="001263D0" w:rsidRPr="00344835" w:rsidRDefault="001263D0" w:rsidP="00721B88">
      <w:pPr>
        <w:keepNext/>
        <w:keepLines/>
        <w:rPr>
          <w:lang w:val="pt-BR"/>
        </w:rPr>
      </w:pPr>
    </w:p>
    <w:p w14:paraId="06730D44" w14:textId="77777777" w:rsidR="001263D0" w:rsidRPr="00344835" w:rsidRDefault="00835E4A" w:rsidP="00721B88">
      <w:pPr>
        <w:keepNext/>
        <w:keepLines/>
        <w:rPr>
          <w:lang w:val="pt-BR"/>
        </w:rPr>
      </w:pPr>
      <w:r w:rsidRPr="00344835">
        <w:rPr>
          <w:lang w:val="pt-BR"/>
        </w:rPr>
        <w:t>Přípravek Evrysdi ve formě prášku musí před výdejem rekonstituovat na perorální roztok zdravotnický pracovník</w:t>
      </w:r>
      <w:r w:rsidR="00A7384C" w:rsidRPr="00344835">
        <w:rPr>
          <w:lang w:val="pt-BR"/>
        </w:rPr>
        <w:t xml:space="preserve"> (např. lékárník)</w:t>
      </w:r>
      <w:r w:rsidRPr="00344835">
        <w:rPr>
          <w:lang w:val="pt-BR"/>
        </w:rPr>
        <w:t xml:space="preserve">. </w:t>
      </w:r>
    </w:p>
    <w:p w14:paraId="06730D45" w14:textId="77777777" w:rsidR="001263D0" w:rsidRPr="00344835" w:rsidRDefault="001263D0">
      <w:pPr>
        <w:rPr>
          <w:lang w:val="pt-BR"/>
        </w:rPr>
      </w:pPr>
    </w:p>
    <w:p w14:paraId="06730D46" w14:textId="77777777" w:rsidR="001263D0" w:rsidRPr="00344835" w:rsidRDefault="00A7384C">
      <w:pPr>
        <w:rPr>
          <w:i/>
          <w:lang w:val="pt-BR"/>
        </w:rPr>
      </w:pPr>
      <w:r w:rsidRPr="00344835">
        <w:rPr>
          <w:u w:val="single"/>
          <w:lang w:val="pt-BR"/>
        </w:rPr>
        <w:t>Příprava</w:t>
      </w:r>
    </w:p>
    <w:p w14:paraId="06730D47" w14:textId="77777777" w:rsidR="001263D0" w:rsidRPr="00344835" w:rsidRDefault="001263D0">
      <w:pPr>
        <w:rPr>
          <w:lang w:val="pt-BR"/>
        </w:rPr>
      </w:pPr>
    </w:p>
    <w:p w14:paraId="06730D48" w14:textId="77777777" w:rsidR="001263D0" w:rsidRPr="00344835" w:rsidRDefault="00835E4A">
      <w:pPr>
        <w:rPr>
          <w:lang w:val="pt-BR"/>
        </w:rPr>
      </w:pPr>
      <w:r w:rsidRPr="00344835">
        <w:rPr>
          <w:lang w:val="pt-BR"/>
        </w:rPr>
        <w:t>S přípravkem Evrysdi ve formě prášku pro perorální roztok je třeba zacházet opatrně (viz bod </w:t>
      </w:r>
      <w:r w:rsidR="00297175" w:rsidRPr="00344835">
        <w:rPr>
          <w:lang w:val="pt-BR"/>
        </w:rPr>
        <w:t>4.4</w:t>
      </w:r>
      <w:r w:rsidRPr="00344835">
        <w:rPr>
          <w:lang w:val="pt-BR"/>
        </w:rPr>
        <w:t xml:space="preserve">). Suchý prášek ani rekonstituovaný roztok nevdechujte a zabraňte přímému styku s kůží a sliznicemi. </w:t>
      </w:r>
    </w:p>
    <w:p w14:paraId="06730D49" w14:textId="77777777" w:rsidR="001263D0" w:rsidRPr="00344835" w:rsidRDefault="001263D0">
      <w:pPr>
        <w:rPr>
          <w:lang w:val="pt-BR"/>
        </w:rPr>
      </w:pPr>
    </w:p>
    <w:p w14:paraId="06730D4A" w14:textId="77777777" w:rsidR="001263D0" w:rsidRPr="00344835" w:rsidRDefault="00835E4A">
      <w:pPr>
        <w:rPr>
          <w:lang w:val="pt-BR"/>
        </w:rPr>
      </w:pPr>
      <w:r w:rsidRPr="00344835">
        <w:rPr>
          <w:lang w:val="pt-BR"/>
        </w:rPr>
        <w:t xml:space="preserve">Během rekonstituce a při otírání vnějšího povrchu lahvičky/víčka a čištění pracovní plochy po rekonstituci používejte jednorázové rukavice. Zasaženou pokožku nebo sliznice omyjte důkladně mýdlem a vodou; zasažené oči vypláchněte vodou.  </w:t>
      </w:r>
    </w:p>
    <w:p w14:paraId="06730D4B" w14:textId="77777777" w:rsidR="001263D0" w:rsidRPr="00344835" w:rsidRDefault="001263D0">
      <w:pPr>
        <w:rPr>
          <w:i/>
          <w:lang w:val="pt-BR"/>
        </w:rPr>
      </w:pPr>
    </w:p>
    <w:p w14:paraId="06730D4C" w14:textId="77777777" w:rsidR="001263D0" w:rsidRPr="00344835" w:rsidRDefault="00835E4A">
      <w:pPr>
        <w:rPr>
          <w:i/>
          <w:lang w:val="pt-BR"/>
        </w:rPr>
      </w:pPr>
      <w:r w:rsidRPr="00344835">
        <w:rPr>
          <w:i/>
          <w:lang w:val="pt-BR"/>
        </w:rPr>
        <w:t>Návod k</w:t>
      </w:r>
      <w:r w:rsidR="0093342D" w:rsidRPr="00344835">
        <w:rPr>
          <w:i/>
          <w:lang w:val="pt-BR"/>
        </w:rPr>
        <w:t> </w:t>
      </w:r>
      <w:r w:rsidRPr="00344835">
        <w:rPr>
          <w:i/>
          <w:lang w:val="pt-BR"/>
        </w:rPr>
        <w:t>rekonstituci</w:t>
      </w:r>
      <w:r w:rsidR="0093342D" w:rsidRPr="00344835">
        <w:rPr>
          <w:i/>
          <w:lang w:val="pt-BR"/>
        </w:rPr>
        <w:t>:</w:t>
      </w:r>
    </w:p>
    <w:p w14:paraId="06730D4D" w14:textId="77777777" w:rsidR="001263D0" w:rsidRPr="00344835" w:rsidRDefault="001263D0">
      <w:pPr>
        <w:rPr>
          <w:i/>
          <w:lang w:val="pt-BR"/>
        </w:rPr>
      </w:pPr>
    </w:p>
    <w:p w14:paraId="06730D4E" w14:textId="77777777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lang w:val="pt-BR"/>
        </w:rPr>
      </w:pPr>
      <w:r w:rsidRPr="00344835">
        <w:rPr>
          <w:color w:val="000000"/>
          <w:lang w:val="pt-BR"/>
        </w:rPr>
        <w:t>1.</w:t>
      </w:r>
      <w:r w:rsidRPr="00344835">
        <w:rPr>
          <w:color w:val="000000"/>
          <w:lang w:val="pt-BR"/>
        </w:rPr>
        <w:tab/>
        <w:t>Jemným poklepáním na dno uzavřené skleněné lahvičky uvolněte prášek.</w:t>
      </w:r>
    </w:p>
    <w:p w14:paraId="06730D4F" w14:textId="77777777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lang w:val="pt-BR"/>
        </w:rPr>
      </w:pPr>
      <w:r w:rsidRPr="00344835">
        <w:rPr>
          <w:color w:val="000000"/>
          <w:lang w:val="pt-BR"/>
        </w:rPr>
        <w:t>2.</w:t>
      </w:r>
      <w:r w:rsidRPr="00344835">
        <w:rPr>
          <w:color w:val="000000"/>
          <w:lang w:val="pt-BR"/>
        </w:rPr>
        <w:tab/>
        <w:t>Sejměte víčko. Víčko nevyhazujte.</w:t>
      </w:r>
    </w:p>
    <w:p w14:paraId="06730D50" w14:textId="783A483A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lang w:val="pt-BR"/>
        </w:rPr>
      </w:pPr>
      <w:r w:rsidRPr="00344835">
        <w:rPr>
          <w:color w:val="000000"/>
          <w:lang w:val="pt-BR"/>
        </w:rPr>
        <w:t>3.</w:t>
      </w:r>
      <w:r w:rsidRPr="00344835">
        <w:rPr>
          <w:color w:val="000000"/>
          <w:lang w:val="pt-BR"/>
        </w:rPr>
        <w:tab/>
        <w:t>Opatrně nalijte 79 ml čištěné vody nebo vody pro injekc</w:t>
      </w:r>
      <w:r w:rsidR="00570D80">
        <w:rPr>
          <w:color w:val="000000"/>
          <w:lang w:val="pt-BR"/>
        </w:rPr>
        <w:t>i</w:t>
      </w:r>
      <w:r w:rsidRPr="00344835">
        <w:rPr>
          <w:color w:val="000000"/>
          <w:lang w:val="pt-BR"/>
        </w:rPr>
        <w:t xml:space="preserve"> do lahvičky s přípravkem Evrysdi. Získáte tak perorální roztok s koncentrací 0,75 mg/ml. </w:t>
      </w:r>
    </w:p>
    <w:p w14:paraId="06730D51" w14:textId="6EF1BF7F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lang w:val="pt-BR"/>
        </w:rPr>
      </w:pPr>
      <w:r w:rsidRPr="00344835">
        <w:rPr>
          <w:color w:val="000000"/>
          <w:lang w:val="pt-BR"/>
        </w:rPr>
        <w:t>4.</w:t>
      </w:r>
      <w:r w:rsidRPr="00344835">
        <w:rPr>
          <w:color w:val="000000"/>
          <w:lang w:val="pt-BR"/>
        </w:rPr>
        <w:tab/>
        <w:t>Jednou rukou přidržte lahvičku na stole. Druhou rukou zatlačte do hrdla lahvičky adaptér. Zkontrolujte, zda je adaptér zatlačený na doraz.</w:t>
      </w:r>
    </w:p>
    <w:p w14:paraId="06730D52" w14:textId="77777777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lang w:val="pt-BR"/>
        </w:rPr>
      </w:pPr>
      <w:r w:rsidRPr="00344835">
        <w:rPr>
          <w:color w:val="000000"/>
          <w:lang w:val="pt-BR"/>
        </w:rPr>
        <w:t>5.</w:t>
      </w:r>
      <w:r w:rsidRPr="00344835">
        <w:rPr>
          <w:color w:val="000000"/>
          <w:lang w:val="pt-BR"/>
        </w:rPr>
        <w:tab/>
        <w:t xml:space="preserve">Nasaďte víčko na lahvičku a důkladně víčko utáhněte. Zkontrolujte, zda je víčko pevně dotažené, a pak lahvičku důkladně 15 sekund protřepávejte. Počkejte 10 minut. Výsledný roztok musí být čirý. </w:t>
      </w:r>
      <w:r w:rsidR="00A7384C" w:rsidRPr="00344835">
        <w:rPr>
          <w:color w:val="000000"/>
          <w:lang w:val="pt-BR"/>
        </w:rPr>
        <w:t xml:space="preserve">Poté </w:t>
      </w:r>
      <w:r w:rsidRPr="00344835">
        <w:rPr>
          <w:color w:val="000000"/>
          <w:lang w:val="pt-BR"/>
        </w:rPr>
        <w:t xml:space="preserve">roztok znovu dalších 15 sekund důkladně protřepávejte. </w:t>
      </w:r>
    </w:p>
    <w:p w14:paraId="06730D53" w14:textId="4B4C50AA" w:rsidR="001263D0" w:rsidRPr="00344835" w:rsidRDefault="00835E4A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lang w:val="pt-BR"/>
        </w:rPr>
      </w:pPr>
      <w:r w:rsidRPr="00344835">
        <w:rPr>
          <w:color w:val="000000"/>
          <w:lang w:val="pt-BR"/>
        </w:rPr>
        <w:t>6.</w:t>
      </w:r>
      <w:r w:rsidRPr="00344835">
        <w:rPr>
          <w:color w:val="000000"/>
          <w:lang w:val="pt-BR"/>
        </w:rPr>
        <w:tab/>
        <w:t>Zapište datum „Zlikvidujte po“</w:t>
      </w:r>
      <w:r w:rsidRPr="00344835">
        <w:rPr>
          <w:color w:val="000000"/>
          <w:sz w:val="24"/>
          <w:szCs w:val="24"/>
          <w:lang w:val="pt-BR"/>
        </w:rPr>
        <w:t xml:space="preserve"> </w:t>
      </w:r>
      <w:r w:rsidRPr="00344835">
        <w:rPr>
          <w:color w:val="000000"/>
          <w:lang w:val="pt-BR"/>
        </w:rPr>
        <w:t>roztoku na štítek lahvičky a na krabičku. (Datum „Zlikvidujte po“</w:t>
      </w:r>
      <w:r w:rsidRPr="00344835">
        <w:rPr>
          <w:color w:val="000000"/>
          <w:sz w:val="24"/>
          <w:szCs w:val="24"/>
          <w:lang w:val="pt-BR"/>
        </w:rPr>
        <w:t xml:space="preserve"> </w:t>
      </w:r>
      <w:r w:rsidRPr="00344835">
        <w:rPr>
          <w:color w:val="000000"/>
          <w:lang w:val="pt-BR"/>
        </w:rPr>
        <w:t>se stanoví jako 64 dnů po rekonstituci, den rekonstituce se počítá jako den 0.) Vraťte lahvičku zpět do původní krabičky se stříkačkami (v</w:t>
      </w:r>
      <w:r w:rsidR="00570D80">
        <w:rPr>
          <w:color w:val="000000"/>
          <w:lang w:val="pt-BR"/>
        </w:rPr>
        <w:t>e váčcích</w:t>
      </w:r>
      <w:r w:rsidRPr="00344835">
        <w:rPr>
          <w:color w:val="000000"/>
          <w:lang w:val="pt-BR"/>
        </w:rPr>
        <w:t>), příbalovou informací a návodem k použití.</w:t>
      </w:r>
    </w:p>
    <w:p w14:paraId="06730D54" w14:textId="77777777" w:rsidR="001263D0" w:rsidRPr="00344835" w:rsidRDefault="001263D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pt-BR"/>
        </w:rPr>
      </w:pPr>
    </w:p>
    <w:p w14:paraId="06730D55" w14:textId="77777777" w:rsidR="001263D0" w:rsidRPr="00344835" w:rsidRDefault="00835E4A" w:rsidP="00960A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  <w:r w:rsidRPr="00344835">
        <w:rPr>
          <w:color w:val="000000"/>
          <w:lang w:val="pt-BR"/>
        </w:rPr>
        <w:t>64 dnů po rekonstituci veškerý nespotřebovaný přípravek zlikvidujte.</w:t>
      </w:r>
    </w:p>
    <w:p w14:paraId="06730D56" w14:textId="77777777" w:rsidR="00A83511" w:rsidRPr="00344835" w:rsidRDefault="00A83511" w:rsidP="00960A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06730D57" w14:textId="77777777" w:rsidR="001263D0" w:rsidRPr="00344835" w:rsidRDefault="00835E4A">
      <w:pPr>
        <w:rPr>
          <w:lang w:val="pt-BR"/>
        </w:rPr>
      </w:pPr>
      <w:r w:rsidRPr="00344835">
        <w:rPr>
          <w:lang w:val="pt-BR"/>
        </w:rPr>
        <w:t xml:space="preserve">Veškerý nepoužitý léčivý přípravek nebo odpad musí být zlikvidován v souladu s místními požadavky. </w:t>
      </w:r>
    </w:p>
    <w:p w14:paraId="06730D58" w14:textId="77777777" w:rsidR="001263D0" w:rsidRPr="00344835" w:rsidRDefault="001263D0">
      <w:pPr>
        <w:rPr>
          <w:lang w:val="pt-BR"/>
        </w:rPr>
      </w:pPr>
    </w:p>
    <w:p w14:paraId="06730D59" w14:textId="77777777" w:rsidR="001263D0" w:rsidRPr="00344835" w:rsidRDefault="001263D0">
      <w:pPr>
        <w:rPr>
          <w:lang w:val="pt-BR"/>
        </w:rPr>
      </w:pPr>
    </w:p>
    <w:p w14:paraId="06730D5A" w14:textId="77777777" w:rsidR="001263D0" w:rsidRPr="00344835" w:rsidRDefault="00835E4A">
      <w:pPr>
        <w:ind w:left="567" w:hanging="567"/>
        <w:rPr>
          <w:lang w:val="it-IT"/>
        </w:rPr>
      </w:pPr>
      <w:r w:rsidRPr="00344835">
        <w:rPr>
          <w:b/>
          <w:lang w:val="it-IT"/>
        </w:rPr>
        <w:t>7.</w:t>
      </w:r>
      <w:r w:rsidRPr="00344835">
        <w:rPr>
          <w:b/>
          <w:lang w:val="it-IT"/>
        </w:rPr>
        <w:tab/>
        <w:t>DRŽITEL ROZHODNUTÍ O REGISTRACI</w:t>
      </w:r>
    </w:p>
    <w:p w14:paraId="06730D5B" w14:textId="77777777" w:rsidR="001263D0" w:rsidRPr="00344835" w:rsidRDefault="001263D0">
      <w:pPr>
        <w:rPr>
          <w:lang w:val="it-IT"/>
        </w:rPr>
      </w:pPr>
    </w:p>
    <w:p w14:paraId="06730D5C" w14:textId="77777777" w:rsidR="001263D0" w:rsidRPr="00344835" w:rsidRDefault="00835E4A">
      <w:pPr>
        <w:rPr>
          <w:lang w:val="it-IT"/>
        </w:rPr>
      </w:pPr>
      <w:r w:rsidRPr="00344835">
        <w:rPr>
          <w:lang w:val="it-IT"/>
        </w:rPr>
        <w:t>Roche Registration GmbH</w:t>
      </w:r>
    </w:p>
    <w:p w14:paraId="06730D5D" w14:textId="77777777" w:rsidR="001263D0" w:rsidRPr="00344835" w:rsidRDefault="00835E4A">
      <w:pPr>
        <w:rPr>
          <w:lang w:val="de-DE"/>
        </w:rPr>
      </w:pPr>
      <w:r w:rsidRPr="00344835">
        <w:rPr>
          <w:lang w:val="de-DE"/>
        </w:rPr>
        <w:t xml:space="preserve">Emil-Barell-Strasse 1 </w:t>
      </w:r>
    </w:p>
    <w:p w14:paraId="06730D5E" w14:textId="77777777" w:rsidR="001263D0" w:rsidRPr="00344835" w:rsidRDefault="00835E4A">
      <w:pPr>
        <w:rPr>
          <w:lang w:val="de-DE"/>
        </w:rPr>
      </w:pPr>
      <w:r w:rsidRPr="00344835">
        <w:rPr>
          <w:lang w:val="de-DE"/>
        </w:rPr>
        <w:t xml:space="preserve">79639 Grenzach-Wyhlen </w:t>
      </w:r>
    </w:p>
    <w:p w14:paraId="06730D5F" w14:textId="77777777" w:rsidR="001263D0" w:rsidRPr="00344835" w:rsidRDefault="00835E4A">
      <w:pPr>
        <w:rPr>
          <w:lang w:val="de-DE"/>
        </w:rPr>
      </w:pPr>
      <w:r w:rsidRPr="00344835">
        <w:rPr>
          <w:lang w:val="de-DE"/>
        </w:rPr>
        <w:t xml:space="preserve">Německo </w:t>
      </w:r>
    </w:p>
    <w:p w14:paraId="06730D60" w14:textId="77777777" w:rsidR="001263D0" w:rsidRPr="00344835" w:rsidRDefault="001263D0">
      <w:pPr>
        <w:rPr>
          <w:lang w:val="de-DE"/>
        </w:rPr>
      </w:pPr>
    </w:p>
    <w:p w14:paraId="06730D61" w14:textId="77777777" w:rsidR="001263D0" w:rsidRPr="00344835" w:rsidRDefault="001263D0">
      <w:pPr>
        <w:rPr>
          <w:lang w:val="de-DE"/>
        </w:rPr>
      </w:pPr>
    </w:p>
    <w:p w14:paraId="06730D62" w14:textId="77777777" w:rsidR="001263D0" w:rsidRPr="00344835" w:rsidRDefault="00835E4A">
      <w:pPr>
        <w:ind w:left="567" w:hanging="567"/>
        <w:rPr>
          <w:b/>
          <w:lang w:val="pt-BR"/>
        </w:rPr>
      </w:pPr>
      <w:r w:rsidRPr="00344835">
        <w:rPr>
          <w:b/>
          <w:lang w:val="pt-BR"/>
        </w:rPr>
        <w:t>8.</w:t>
      </w:r>
      <w:r w:rsidRPr="00344835">
        <w:rPr>
          <w:b/>
          <w:lang w:val="pt-BR"/>
        </w:rPr>
        <w:tab/>
        <w:t xml:space="preserve">REGISTRAČNÍ ČÍSLO/REGISTRAČNÍ ČÍSLA </w:t>
      </w:r>
    </w:p>
    <w:p w14:paraId="06730D63" w14:textId="77777777" w:rsidR="001263D0" w:rsidRPr="00344835" w:rsidRDefault="001263D0">
      <w:pPr>
        <w:rPr>
          <w:lang w:val="pt-BR"/>
        </w:rPr>
      </w:pPr>
    </w:p>
    <w:p w14:paraId="06730D64" w14:textId="77777777" w:rsidR="0025379C" w:rsidRPr="00344835" w:rsidRDefault="0025379C">
      <w:pPr>
        <w:rPr>
          <w:lang w:val="pt-BR"/>
        </w:rPr>
      </w:pPr>
      <w:r w:rsidRPr="00344835">
        <w:rPr>
          <w:lang w:val="pt-BR"/>
        </w:rPr>
        <w:t>EU/1/21/1531/001</w:t>
      </w:r>
    </w:p>
    <w:p w14:paraId="06730D65" w14:textId="77777777" w:rsidR="001263D0" w:rsidRPr="00344835" w:rsidRDefault="001263D0">
      <w:pPr>
        <w:rPr>
          <w:lang w:val="pt-BR"/>
        </w:rPr>
      </w:pPr>
    </w:p>
    <w:p w14:paraId="06730D66" w14:textId="77777777" w:rsidR="0025379C" w:rsidRPr="00344835" w:rsidRDefault="0025379C">
      <w:pPr>
        <w:rPr>
          <w:lang w:val="pt-BR"/>
        </w:rPr>
      </w:pPr>
    </w:p>
    <w:p w14:paraId="06730D67" w14:textId="77777777" w:rsidR="001263D0" w:rsidRPr="00344835" w:rsidRDefault="00835E4A">
      <w:pPr>
        <w:keepNext/>
        <w:keepLines/>
        <w:ind w:left="567" w:hanging="567"/>
        <w:rPr>
          <w:lang w:val="pt-BR"/>
        </w:rPr>
      </w:pPr>
      <w:r w:rsidRPr="00344835">
        <w:rPr>
          <w:b/>
          <w:lang w:val="pt-BR"/>
        </w:rPr>
        <w:t>9.</w:t>
      </w:r>
      <w:r w:rsidRPr="00344835">
        <w:rPr>
          <w:b/>
          <w:lang w:val="pt-BR"/>
        </w:rPr>
        <w:tab/>
        <w:t>DATUM PRVNÍ REGISTRACE/PRODLOUŽENÍ REGISTRACE</w:t>
      </w:r>
    </w:p>
    <w:p w14:paraId="06730D68" w14:textId="77777777" w:rsidR="001263D0" w:rsidRPr="00344835" w:rsidRDefault="001263D0">
      <w:pPr>
        <w:keepNext/>
        <w:keepLines/>
        <w:rPr>
          <w:i/>
          <w:lang w:val="pt-BR"/>
        </w:rPr>
      </w:pPr>
    </w:p>
    <w:p w14:paraId="06730D69" w14:textId="516501FE" w:rsidR="001263D0" w:rsidRPr="00344835" w:rsidRDefault="00835E4A">
      <w:pPr>
        <w:keepNext/>
        <w:keepLines/>
        <w:rPr>
          <w:i/>
          <w:lang w:val="pt-BR"/>
        </w:rPr>
      </w:pPr>
      <w:r w:rsidRPr="00344835">
        <w:rPr>
          <w:lang w:val="pt-BR"/>
        </w:rPr>
        <w:t>Datum první registrace:</w:t>
      </w:r>
      <w:r w:rsidR="009E71E0">
        <w:rPr>
          <w:lang w:val="pt-BR"/>
        </w:rPr>
        <w:t xml:space="preserve"> 26. března 2021</w:t>
      </w:r>
    </w:p>
    <w:p w14:paraId="06730D6A" w14:textId="77777777" w:rsidR="001263D0" w:rsidRPr="00344835" w:rsidRDefault="001263D0">
      <w:pPr>
        <w:rPr>
          <w:lang w:val="pt-BR"/>
        </w:rPr>
      </w:pPr>
    </w:p>
    <w:p w14:paraId="06730D6B" w14:textId="77777777" w:rsidR="001263D0" w:rsidRPr="00344835" w:rsidRDefault="001263D0">
      <w:pPr>
        <w:rPr>
          <w:lang w:val="pt-BR"/>
        </w:rPr>
      </w:pPr>
    </w:p>
    <w:p w14:paraId="06730D6C" w14:textId="77777777" w:rsidR="001263D0" w:rsidRPr="00344835" w:rsidRDefault="00835E4A" w:rsidP="00721B88">
      <w:pPr>
        <w:keepNext/>
        <w:keepLines/>
        <w:ind w:left="567" w:hanging="567"/>
        <w:rPr>
          <w:b/>
          <w:lang w:val="pt-BR"/>
        </w:rPr>
      </w:pPr>
      <w:r w:rsidRPr="00344835">
        <w:rPr>
          <w:b/>
          <w:lang w:val="pt-BR"/>
        </w:rPr>
        <w:lastRenderedPageBreak/>
        <w:t>10.</w:t>
      </w:r>
      <w:r w:rsidRPr="00344835">
        <w:rPr>
          <w:b/>
          <w:lang w:val="pt-BR"/>
        </w:rPr>
        <w:tab/>
        <w:t>DATUM REVIZE TEXTU</w:t>
      </w:r>
    </w:p>
    <w:p w14:paraId="06730D6D" w14:textId="77777777" w:rsidR="001263D0" w:rsidRPr="00344835" w:rsidRDefault="001263D0" w:rsidP="00721B88">
      <w:pPr>
        <w:keepNext/>
        <w:keepLines/>
        <w:rPr>
          <w:lang w:val="pt-BR"/>
        </w:rPr>
      </w:pPr>
    </w:p>
    <w:p w14:paraId="3549E29B" w14:textId="347BADE2" w:rsidR="009E71E0" w:rsidRDefault="009E71E0" w:rsidP="000A677E">
      <w:pPr>
        <w:keepNext/>
        <w:keepLines/>
        <w:rPr>
          <w:lang w:val="pt-BR"/>
        </w:rPr>
      </w:pPr>
      <w:r>
        <w:rPr>
          <w:lang w:val="pt-BR"/>
        </w:rPr>
        <w:t>26. 3. 2021</w:t>
      </w:r>
    </w:p>
    <w:p w14:paraId="51EE398A" w14:textId="77777777" w:rsidR="009E71E0" w:rsidRDefault="009E71E0" w:rsidP="000A677E">
      <w:pPr>
        <w:keepNext/>
        <w:keepLines/>
        <w:rPr>
          <w:lang w:val="pt-BR"/>
        </w:rPr>
      </w:pPr>
    </w:p>
    <w:p w14:paraId="06730D70" w14:textId="6776C19B" w:rsidR="001263D0" w:rsidRPr="00344835" w:rsidRDefault="006C00D1" w:rsidP="000A677E">
      <w:pPr>
        <w:keepNext/>
        <w:keepLines/>
        <w:rPr>
          <w:lang w:val="pt-BR"/>
        </w:rPr>
      </w:pPr>
      <w:r w:rsidRPr="00344835">
        <w:rPr>
          <w:lang w:val="pt-BR"/>
        </w:rPr>
        <w:t xml:space="preserve">Podrobné informace o tomto léčivém přípravku jsou k dispozici na webových stránkách Evropské agentury pro léčivé přípravky </w:t>
      </w:r>
      <w:hyperlink r:id="rId17" w:history="1">
        <w:r w:rsidR="002702D7" w:rsidRPr="00344835">
          <w:rPr>
            <w:rStyle w:val="Hypertextovodkaz1"/>
            <w:noProof/>
            <w:lang w:val="pt-BR"/>
          </w:rPr>
          <w:t>http://www.ema.europa.eu</w:t>
        </w:r>
      </w:hyperlink>
      <w:r w:rsidRPr="00344835">
        <w:rPr>
          <w:lang w:val="pt-BR"/>
        </w:rPr>
        <w:t>.</w:t>
      </w:r>
    </w:p>
    <w:p w14:paraId="06730D71" w14:textId="77777777" w:rsidR="001263D0" w:rsidRPr="00344835" w:rsidRDefault="001263D0">
      <w:pPr>
        <w:rPr>
          <w:lang w:val="pt-BR"/>
        </w:rPr>
      </w:pPr>
    </w:p>
    <w:p w14:paraId="06730D72" w14:textId="77777777" w:rsidR="001263D0" w:rsidRPr="00344835" w:rsidRDefault="001263D0">
      <w:pPr>
        <w:rPr>
          <w:lang w:val="pt-BR"/>
        </w:rPr>
      </w:pPr>
    </w:p>
    <w:p w14:paraId="06730D73" w14:textId="77777777" w:rsidR="001263D0" w:rsidRPr="00344835" w:rsidRDefault="001263D0">
      <w:pPr>
        <w:rPr>
          <w:lang w:val="pt-BR"/>
        </w:rPr>
      </w:pPr>
    </w:p>
    <w:p w14:paraId="06730D74" w14:textId="77777777" w:rsidR="001263D0" w:rsidRPr="00344835" w:rsidRDefault="001263D0">
      <w:pPr>
        <w:rPr>
          <w:lang w:val="pt-BR"/>
        </w:rPr>
      </w:pPr>
    </w:p>
    <w:p w14:paraId="06730D75" w14:textId="77777777" w:rsidR="001263D0" w:rsidRPr="00344835" w:rsidRDefault="001263D0">
      <w:pPr>
        <w:rPr>
          <w:lang w:val="pt-BR"/>
        </w:rPr>
      </w:pPr>
    </w:p>
    <w:p w14:paraId="06730D76" w14:textId="77777777" w:rsidR="001263D0" w:rsidRPr="00344835" w:rsidRDefault="001263D0">
      <w:pPr>
        <w:rPr>
          <w:lang w:val="pt-BR"/>
        </w:rPr>
      </w:pPr>
    </w:p>
    <w:p w14:paraId="06730D77" w14:textId="77777777" w:rsidR="001263D0" w:rsidRPr="00344835" w:rsidRDefault="001263D0">
      <w:pPr>
        <w:rPr>
          <w:lang w:val="pt-BR"/>
        </w:rPr>
      </w:pPr>
    </w:p>
    <w:p w14:paraId="06730D78" w14:textId="77777777" w:rsidR="001263D0" w:rsidRPr="00344835" w:rsidRDefault="001263D0">
      <w:pPr>
        <w:rPr>
          <w:lang w:val="pt-BR"/>
        </w:rPr>
      </w:pPr>
    </w:p>
    <w:p w14:paraId="06730D79" w14:textId="77777777" w:rsidR="001263D0" w:rsidRPr="00344835" w:rsidRDefault="001263D0">
      <w:pPr>
        <w:rPr>
          <w:lang w:val="pt-BR"/>
        </w:rPr>
      </w:pPr>
    </w:p>
    <w:p w14:paraId="06730D7A" w14:textId="77777777" w:rsidR="001263D0" w:rsidRPr="00344835" w:rsidRDefault="001263D0">
      <w:pPr>
        <w:rPr>
          <w:lang w:val="pt-BR"/>
        </w:rPr>
      </w:pPr>
    </w:p>
    <w:p w14:paraId="06730D7B" w14:textId="77777777" w:rsidR="001263D0" w:rsidRPr="00344835" w:rsidRDefault="001263D0">
      <w:pPr>
        <w:rPr>
          <w:lang w:val="pt-BR"/>
        </w:rPr>
      </w:pPr>
    </w:p>
    <w:p w14:paraId="06730D7C" w14:textId="77777777" w:rsidR="001263D0" w:rsidRPr="00344835" w:rsidRDefault="001263D0">
      <w:pPr>
        <w:rPr>
          <w:lang w:val="pt-BR"/>
        </w:rPr>
      </w:pPr>
    </w:p>
    <w:p w14:paraId="06730D7D" w14:textId="77777777" w:rsidR="001263D0" w:rsidRPr="00344835" w:rsidRDefault="001263D0">
      <w:pPr>
        <w:rPr>
          <w:lang w:val="pt-BR"/>
        </w:rPr>
      </w:pPr>
    </w:p>
    <w:p w14:paraId="06730D7E" w14:textId="77777777" w:rsidR="001263D0" w:rsidRPr="00344835" w:rsidRDefault="001263D0">
      <w:pPr>
        <w:rPr>
          <w:lang w:val="pt-BR"/>
        </w:rPr>
      </w:pPr>
    </w:p>
    <w:p w14:paraId="06730D7F" w14:textId="77777777" w:rsidR="001263D0" w:rsidRPr="00344835" w:rsidRDefault="001263D0">
      <w:pPr>
        <w:rPr>
          <w:lang w:val="pt-BR"/>
        </w:rPr>
      </w:pPr>
    </w:p>
    <w:p w14:paraId="06730D80" w14:textId="77777777" w:rsidR="001263D0" w:rsidRPr="00344835" w:rsidRDefault="001263D0">
      <w:pPr>
        <w:rPr>
          <w:lang w:val="pt-BR"/>
        </w:rPr>
      </w:pPr>
    </w:p>
    <w:p w14:paraId="06730D81" w14:textId="77777777" w:rsidR="001263D0" w:rsidRPr="00344835" w:rsidRDefault="001263D0">
      <w:pPr>
        <w:rPr>
          <w:lang w:val="pt-BR"/>
        </w:rPr>
      </w:pPr>
    </w:p>
    <w:p w14:paraId="06730D82" w14:textId="77777777" w:rsidR="001263D0" w:rsidRPr="00344835" w:rsidRDefault="001263D0">
      <w:pPr>
        <w:rPr>
          <w:lang w:val="pt-BR"/>
        </w:rPr>
      </w:pPr>
    </w:p>
    <w:p w14:paraId="06730D83" w14:textId="77777777" w:rsidR="001263D0" w:rsidRPr="00344835" w:rsidRDefault="001263D0">
      <w:pPr>
        <w:rPr>
          <w:lang w:val="pt-BR"/>
        </w:rPr>
      </w:pPr>
    </w:p>
    <w:p w14:paraId="06730D84" w14:textId="77777777" w:rsidR="001263D0" w:rsidRPr="00344835" w:rsidRDefault="001263D0">
      <w:pPr>
        <w:rPr>
          <w:lang w:val="pt-BR"/>
        </w:rPr>
      </w:pPr>
    </w:p>
    <w:p w14:paraId="06730D85" w14:textId="77777777" w:rsidR="001263D0" w:rsidRPr="00344835" w:rsidRDefault="001263D0">
      <w:pPr>
        <w:rPr>
          <w:lang w:val="pt-BR"/>
        </w:rPr>
      </w:pPr>
    </w:p>
    <w:p w14:paraId="06730D86" w14:textId="77777777" w:rsidR="001263D0" w:rsidRPr="00344835" w:rsidRDefault="001263D0">
      <w:pPr>
        <w:rPr>
          <w:lang w:val="pt-BR"/>
        </w:rPr>
      </w:pPr>
    </w:p>
    <w:tbl>
      <w:tblPr>
        <w:tblStyle w:val="af"/>
        <w:tblW w:w="93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33"/>
      </w:tblGrid>
      <w:tr w:rsidR="001263D0" w:rsidRPr="009E71E0" w14:paraId="06731150" w14:textId="77777777" w:rsidTr="000A677E">
        <w:tc>
          <w:tcPr>
            <w:tcW w:w="9333" w:type="dxa"/>
            <w:shd w:val="clear" w:color="auto" w:fill="auto"/>
            <w:vAlign w:val="center"/>
          </w:tcPr>
          <w:p w14:paraId="0673114F" w14:textId="77777777" w:rsidR="001263D0" w:rsidRPr="009E71E0" w:rsidRDefault="001263D0" w:rsidP="000A677E">
            <w:pPr>
              <w:tabs>
                <w:tab w:val="left" w:pos="567"/>
              </w:tabs>
              <w:spacing w:line="260" w:lineRule="auto"/>
              <w:rPr>
                <w:b/>
                <w:lang w:val="pt-BR"/>
              </w:rPr>
            </w:pPr>
          </w:p>
        </w:tc>
      </w:tr>
    </w:tbl>
    <w:p w14:paraId="06731151" w14:textId="77777777" w:rsidR="001263D0" w:rsidRPr="009E71E0" w:rsidRDefault="001263D0">
      <w:pPr>
        <w:rPr>
          <w:lang w:val="pt-BR"/>
        </w:rPr>
      </w:pPr>
    </w:p>
    <w:sectPr w:rsidR="001263D0" w:rsidRPr="009E71E0" w:rsidSect="00960A95">
      <w:footerReference w:type="default" r:id="rId18"/>
      <w:footerReference w:type="first" r:id="rId19"/>
      <w:pgSz w:w="11907" w:h="16840" w:code="9"/>
      <w:pgMar w:top="1134" w:right="1418" w:bottom="1134" w:left="1418" w:header="737" w:footer="73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895D" w14:textId="77777777" w:rsidR="00191AC4" w:rsidRDefault="00191AC4">
      <w:r>
        <w:separator/>
      </w:r>
    </w:p>
  </w:endnote>
  <w:endnote w:type="continuationSeparator" w:id="0">
    <w:p w14:paraId="434B908B" w14:textId="77777777" w:rsidR="00191AC4" w:rsidRDefault="0019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11B6" w14:textId="15075601" w:rsidR="00B83A4A" w:rsidRDefault="00B83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306"/>
        <w:tab w:val="right" w:pos="8931"/>
      </w:tabs>
      <w:ind w:right="96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E48EE">
      <w:rPr>
        <w:rFonts w:ascii="Arial" w:eastAsia="Arial" w:hAnsi="Arial" w:cs="Arial"/>
        <w:noProof/>
        <w:color w:val="000000"/>
        <w:sz w:val="16"/>
        <w:szCs w:val="16"/>
      </w:rPr>
      <w:t>18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11B7" w14:textId="7C50B20B" w:rsidR="00B83A4A" w:rsidRDefault="00B83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306"/>
        <w:tab w:val="right" w:pos="8931"/>
      </w:tabs>
      <w:ind w:right="96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E48EE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F316" w14:textId="77777777" w:rsidR="00191AC4" w:rsidRDefault="00191AC4">
      <w:r>
        <w:separator/>
      </w:r>
    </w:p>
  </w:footnote>
  <w:footnote w:type="continuationSeparator" w:id="0">
    <w:p w14:paraId="7C58C729" w14:textId="77777777" w:rsidR="00191AC4" w:rsidRDefault="0019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F241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826470F"/>
    <w:multiLevelType w:val="multilevel"/>
    <w:tmpl w:val="7A6C0692"/>
    <w:lvl w:ilvl="0">
      <w:start w:val="1"/>
      <w:numFmt w:val="decimal"/>
      <w:lvlText w:val="%1."/>
      <w:lvlJc w:val="left"/>
      <w:pPr>
        <w:ind w:left="12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6A7777"/>
    <w:multiLevelType w:val="multilevel"/>
    <w:tmpl w:val="DCB21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605BD8"/>
    <w:multiLevelType w:val="hybridMultilevel"/>
    <w:tmpl w:val="7C08B312"/>
    <w:lvl w:ilvl="0" w:tplc="C3B8E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01D91"/>
    <w:multiLevelType w:val="hybridMultilevel"/>
    <w:tmpl w:val="2A44D278"/>
    <w:lvl w:ilvl="0" w:tplc="624682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 w:tplc="CC0A24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0816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8B9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A62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96E6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C6F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D875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D804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24575"/>
    <w:multiLevelType w:val="singleLevel"/>
    <w:tmpl w:val="AA5ADB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0D43664"/>
    <w:multiLevelType w:val="multilevel"/>
    <w:tmpl w:val="94DAE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585CB6"/>
    <w:multiLevelType w:val="multilevel"/>
    <w:tmpl w:val="0EC4BD1E"/>
    <w:lvl w:ilvl="0">
      <w:start w:val="1"/>
      <w:numFmt w:val="decimal"/>
      <w:lvlText w:val="%1."/>
      <w:lvlJc w:val="left"/>
      <w:pPr>
        <w:ind w:left="360" w:hanging="360"/>
      </w:pPr>
      <w:rPr>
        <w:b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9691D"/>
    <w:multiLevelType w:val="multilevel"/>
    <w:tmpl w:val="A9605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436A6"/>
    <w:multiLevelType w:val="multilevel"/>
    <w:tmpl w:val="69AA1678"/>
    <w:lvl w:ilvl="0">
      <w:start w:val="1"/>
      <w:numFmt w:val="decimal"/>
      <w:lvlText w:val="%1."/>
      <w:lvlJc w:val="left"/>
      <w:pPr>
        <w:ind w:left="360" w:hanging="360"/>
      </w:pPr>
      <w:rPr>
        <w:b/>
        <w:color w:val="FFFF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0D6EE1"/>
    <w:multiLevelType w:val="hybridMultilevel"/>
    <w:tmpl w:val="8978605C"/>
    <w:lvl w:ilvl="0" w:tplc="768A3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 w:tplc="A768BDAC" w:tentative="1">
      <w:start w:val="1"/>
      <w:numFmt w:val="lowerLetter"/>
      <w:lvlText w:val="%2."/>
      <w:lvlJc w:val="left"/>
      <w:pPr>
        <w:ind w:left="1080" w:hanging="360"/>
      </w:pPr>
    </w:lvl>
    <w:lvl w:ilvl="2" w:tplc="E7D8E956" w:tentative="1">
      <w:start w:val="1"/>
      <w:numFmt w:val="lowerRoman"/>
      <w:lvlText w:val="%3."/>
      <w:lvlJc w:val="right"/>
      <w:pPr>
        <w:ind w:left="1800" w:hanging="180"/>
      </w:pPr>
    </w:lvl>
    <w:lvl w:ilvl="3" w:tplc="19D08C36" w:tentative="1">
      <w:start w:val="1"/>
      <w:numFmt w:val="decimal"/>
      <w:lvlText w:val="%4."/>
      <w:lvlJc w:val="left"/>
      <w:pPr>
        <w:ind w:left="2520" w:hanging="360"/>
      </w:pPr>
    </w:lvl>
    <w:lvl w:ilvl="4" w:tplc="70B2DD42" w:tentative="1">
      <w:start w:val="1"/>
      <w:numFmt w:val="lowerLetter"/>
      <w:lvlText w:val="%5."/>
      <w:lvlJc w:val="left"/>
      <w:pPr>
        <w:ind w:left="3240" w:hanging="360"/>
      </w:pPr>
    </w:lvl>
    <w:lvl w:ilvl="5" w:tplc="BAE207CE" w:tentative="1">
      <w:start w:val="1"/>
      <w:numFmt w:val="lowerRoman"/>
      <w:lvlText w:val="%6."/>
      <w:lvlJc w:val="right"/>
      <w:pPr>
        <w:ind w:left="3960" w:hanging="180"/>
      </w:pPr>
    </w:lvl>
    <w:lvl w:ilvl="6" w:tplc="CC8A6020" w:tentative="1">
      <w:start w:val="1"/>
      <w:numFmt w:val="decimal"/>
      <w:lvlText w:val="%7."/>
      <w:lvlJc w:val="left"/>
      <w:pPr>
        <w:ind w:left="4680" w:hanging="360"/>
      </w:pPr>
    </w:lvl>
    <w:lvl w:ilvl="7" w:tplc="24BC9BE8" w:tentative="1">
      <w:start w:val="1"/>
      <w:numFmt w:val="lowerLetter"/>
      <w:lvlText w:val="%8."/>
      <w:lvlJc w:val="left"/>
      <w:pPr>
        <w:ind w:left="5400" w:hanging="360"/>
      </w:pPr>
    </w:lvl>
    <w:lvl w:ilvl="8" w:tplc="8564B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C256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D0"/>
    <w:rsid w:val="00000527"/>
    <w:rsid w:val="000009BE"/>
    <w:rsid w:val="00001ABD"/>
    <w:rsid w:val="00003468"/>
    <w:rsid w:val="00003A21"/>
    <w:rsid w:val="00004C2F"/>
    <w:rsid w:val="00005D2E"/>
    <w:rsid w:val="00007612"/>
    <w:rsid w:val="00010049"/>
    <w:rsid w:val="00010546"/>
    <w:rsid w:val="00012B21"/>
    <w:rsid w:val="00013DAE"/>
    <w:rsid w:val="000243D4"/>
    <w:rsid w:val="00026437"/>
    <w:rsid w:val="00026C43"/>
    <w:rsid w:val="00027498"/>
    <w:rsid w:val="000300B0"/>
    <w:rsid w:val="00033D56"/>
    <w:rsid w:val="00040CEC"/>
    <w:rsid w:val="00041759"/>
    <w:rsid w:val="000503C7"/>
    <w:rsid w:val="0005445E"/>
    <w:rsid w:val="000573D2"/>
    <w:rsid w:val="00057FC3"/>
    <w:rsid w:val="00060208"/>
    <w:rsid w:val="000602AF"/>
    <w:rsid w:val="00065DBA"/>
    <w:rsid w:val="00066E04"/>
    <w:rsid w:val="000712D3"/>
    <w:rsid w:val="00072AAD"/>
    <w:rsid w:val="00072FE0"/>
    <w:rsid w:val="00073267"/>
    <w:rsid w:val="00073650"/>
    <w:rsid w:val="0007429D"/>
    <w:rsid w:val="00074EF8"/>
    <w:rsid w:val="000758B9"/>
    <w:rsid w:val="000777DB"/>
    <w:rsid w:val="00081DEE"/>
    <w:rsid w:val="0008248F"/>
    <w:rsid w:val="00082E59"/>
    <w:rsid w:val="00083CC6"/>
    <w:rsid w:val="00086F44"/>
    <w:rsid w:val="00086F55"/>
    <w:rsid w:val="0008720E"/>
    <w:rsid w:val="00090A5B"/>
    <w:rsid w:val="0009265C"/>
    <w:rsid w:val="0009367C"/>
    <w:rsid w:val="00094774"/>
    <w:rsid w:val="00094CD6"/>
    <w:rsid w:val="000A677E"/>
    <w:rsid w:val="000B0213"/>
    <w:rsid w:val="000B6365"/>
    <w:rsid w:val="000C41AE"/>
    <w:rsid w:val="000D03E8"/>
    <w:rsid w:val="000D0BC5"/>
    <w:rsid w:val="000D2187"/>
    <w:rsid w:val="000D297F"/>
    <w:rsid w:val="000D7268"/>
    <w:rsid w:val="000E06BF"/>
    <w:rsid w:val="000E0766"/>
    <w:rsid w:val="000E0A55"/>
    <w:rsid w:val="000E3A5C"/>
    <w:rsid w:val="000E5D82"/>
    <w:rsid w:val="000E64A6"/>
    <w:rsid w:val="000F07E8"/>
    <w:rsid w:val="000F2651"/>
    <w:rsid w:val="000F3B02"/>
    <w:rsid w:val="000F4458"/>
    <w:rsid w:val="000F61EE"/>
    <w:rsid w:val="000F7994"/>
    <w:rsid w:val="000F7A8D"/>
    <w:rsid w:val="000F7C15"/>
    <w:rsid w:val="000F7D40"/>
    <w:rsid w:val="0010385B"/>
    <w:rsid w:val="00104A84"/>
    <w:rsid w:val="00106DF1"/>
    <w:rsid w:val="0010722A"/>
    <w:rsid w:val="00107577"/>
    <w:rsid w:val="00115538"/>
    <w:rsid w:val="00115AE5"/>
    <w:rsid w:val="00117219"/>
    <w:rsid w:val="001172C8"/>
    <w:rsid w:val="00117369"/>
    <w:rsid w:val="00120081"/>
    <w:rsid w:val="001225C9"/>
    <w:rsid w:val="00124AF7"/>
    <w:rsid w:val="001263D0"/>
    <w:rsid w:val="001336A5"/>
    <w:rsid w:val="00137061"/>
    <w:rsid w:val="00147393"/>
    <w:rsid w:val="001506F2"/>
    <w:rsid w:val="001509A9"/>
    <w:rsid w:val="00150F6A"/>
    <w:rsid w:val="001520C9"/>
    <w:rsid w:val="001522EC"/>
    <w:rsid w:val="001612BB"/>
    <w:rsid w:val="001617D0"/>
    <w:rsid w:val="00167B49"/>
    <w:rsid w:val="0017248E"/>
    <w:rsid w:val="00172705"/>
    <w:rsid w:val="00175804"/>
    <w:rsid w:val="00181908"/>
    <w:rsid w:val="00183E03"/>
    <w:rsid w:val="001843F6"/>
    <w:rsid w:val="0018543E"/>
    <w:rsid w:val="001857B4"/>
    <w:rsid w:val="00191AC4"/>
    <w:rsid w:val="001921F4"/>
    <w:rsid w:val="001931E7"/>
    <w:rsid w:val="001A0590"/>
    <w:rsid w:val="001A24EF"/>
    <w:rsid w:val="001A2D80"/>
    <w:rsid w:val="001A5E61"/>
    <w:rsid w:val="001B1455"/>
    <w:rsid w:val="001B3278"/>
    <w:rsid w:val="001B54CF"/>
    <w:rsid w:val="001B5F8C"/>
    <w:rsid w:val="001B75E7"/>
    <w:rsid w:val="001C0D45"/>
    <w:rsid w:val="001C28CB"/>
    <w:rsid w:val="001C5DC1"/>
    <w:rsid w:val="001C634E"/>
    <w:rsid w:val="001C748D"/>
    <w:rsid w:val="001D27EB"/>
    <w:rsid w:val="001D2EE6"/>
    <w:rsid w:val="001D3CF7"/>
    <w:rsid w:val="001D469A"/>
    <w:rsid w:val="001D66ED"/>
    <w:rsid w:val="001D6810"/>
    <w:rsid w:val="001D70BD"/>
    <w:rsid w:val="001E2C1F"/>
    <w:rsid w:val="001E4E48"/>
    <w:rsid w:val="001E5C75"/>
    <w:rsid w:val="001F3763"/>
    <w:rsid w:val="00201389"/>
    <w:rsid w:val="0020298D"/>
    <w:rsid w:val="002073F6"/>
    <w:rsid w:val="00211301"/>
    <w:rsid w:val="0021376A"/>
    <w:rsid w:val="00216363"/>
    <w:rsid w:val="00220D1B"/>
    <w:rsid w:val="00221DEA"/>
    <w:rsid w:val="0022309B"/>
    <w:rsid w:val="00224CFC"/>
    <w:rsid w:val="00225737"/>
    <w:rsid w:val="00225D77"/>
    <w:rsid w:val="002306C8"/>
    <w:rsid w:val="002318EB"/>
    <w:rsid w:val="00232B19"/>
    <w:rsid w:val="00242031"/>
    <w:rsid w:val="00242278"/>
    <w:rsid w:val="00242F99"/>
    <w:rsid w:val="002461F4"/>
    <w:rsid w:val="00250ABF"/>
    <w:rsid w:val="002529E3"/>
    <w:rsid w:val="0025379C"/>
    <w:rsid w:val="00255927"/>
    <w:rsid w:val="00256078"/>
    <w:rsid w:val="0025769F"/>
    <w:rsid w:val="00257C95"/>
    <w:rsid w:val="00260FA6"/>
    <w:rsid w:val="002610A2"/>
    <w:rsid w:val="002618EA"/>
    <w:rsid w:val="00261EED"/>
    <w:rsid w:val="00266F28"/>
    <w:rsid w:val="0026713A"/>
    <w:rsid w:val="002702D7"/>
    <w:rsid w:val="002704B1"/>
    <w:rsid w:val="00277D5C"/>
    <w:rsid w:val="00283B2D"/>
    <w:rsid w:val="00287285"/>
    <w:rsid w:val="00293F66"/>
    <w:rsid w:val="00295E9A"/>
    <w:rsid w:val="00297175"/>
    <w:rsid w:val="00297344"/>
    <w:rsid w:val="002A3D95"/>
    <w:rsid w:val="002A72FE"/>
    <w:rsid w:val="002B2396"/>
    <w:rsid w:val="002B4179"/>
    <w:rsid w:val="002C0B74"/>
    <w:rsid w:val="002C0D1A"/>
    <w:rsid w:val="002C19DE"/>
    <w:rsid w:val="002C7183"/>
    <w:rsid w:val="002E082D"/>
    <w:rsid w:val="002E50A7"/>
    <w:rsid w:val="002E5313"/>
    <w:rsid w:val="002E7699"/>
    <w:rsid w:val="002E783F"/>
    <w:rsid w:val="002F07F5"/>
    <w:rsid w:val="002F1DEB"/>
    <w:rsid w:val="002F43E6"/>
    <w:rsid w:val="00301E61"/>
    <w:rsid w:val="003026CB"/>
    <w:rsid w:val="003040AE"/>
    <w:rsid w:val="00304A7E"/>
    <w:rsid w:val="003103F3"/>
    <w:rsid w:val="00322F29"/>
    <w:rsid w:val="00323C62"/>
    <w:rsid w:val="00324ADE"/>
    <w:rsid w:val="00325AAB"/>
    <w:rsid w:val="0032690A"/>
    <w:rsid w:val="00326DF9"/>
    <w:rsid w:val="0033057E"/>
    <w:rsid w:val="003343A1"/>
    <w:rsid w:val="00335507"/>
    <w:rsid w:val="00335556"/>
    <w:rsid w:val="0033584C"/>
    <w:rsid w:val="00336222"/>
    <w:rsid w:val="003426D5"/>
    <w:rsid w:val="0034410B"/>
    <w:rsid w:val="003442A0"/>
    <w:rsid w:val="00344835"/>
    <w:rsid w:val="0035173E"/>
    <w:rsid w:val="0035174D"/>
    <w:rsid w:val="003520A6"/>
    <w:rsid w:val="0035374A"/>
    <w:rsid w:val="003564D3"/>
    <w:rsid w:val="00356F8A"/>
    <w:rsid w:val="00357483"/>
    <w:rsid w:val="00361084"/>
    <w:rsid w:val="0036141C"/>
    <w:rsid w:val="00361C75"/>
    <w:rsid w:val="00363271"/>
    <w:rsid w:val="003635D9"/>
    <w:rsid w:val="00365B5D"/>
    <w:rsid w:val="00372178"/>
    <w:rsid w:val="0037674B"/>
    <w:rsid w:val="003841F1"/>
    <w:rsid w:val="00386097"/>
    <w:rsid w:val="003943EA"/>
    <w:rsid w:val="00396160"/>
    <w:rsid w:val="003961D1"/>
    <w:rsid w:val="003A060E"/>
    <w:rsid w:val="003A2C1C"/>
    <w:rsid w:val="003A3B0C"/>
    <w:rsid w:val="003A4489"/>
    <w:rsid w:val="003A451E"/>
    <w:rsid w:val="003A65A5"/>
    <w:rsid w:val="003B0559"/>
    <w:rsid w:val="003B13C3"/>
    <w:rsid w:val="003B177B"/>
    <w:rsid w:val="003B26A1"/>
    <w:rsid w:val="003B3B14"/>
    <w:rsid w:val="003B4E7F"/>
    <w:rsid w:val="003C1569"/>
    <w:rsid w:val="003C2948"/>
    <w:rsid w:val="003C2EB4"/>
    <w:rsid w:val="003C523F"/>
    <w:rsid w:val="003C72FE"/>
    <w:rsid w:val="003C7EA7"/>
    <w:rsid w:val="003D0DB9"/>
    <w:rsid w:val="003D288C"/>
    <w:rsid w:val="003D60B0"/>
    <w:rsid w:val="003E52C2"/>
    <w:rsid w:val="003F2154"/>
    <w:rsid w:val="003F4C02"/>
    <w:rsid w:val="003F6335"/>
    <w:rsid w:val="00401D5D"/>
    <w:rsid w:val="004023EE"/>
    <w:rsid w:val="00403DEF"/>
    <w:rsid w:val="00404228"/>
    <w:rsid w:val="00404E15"/>
    <w:rsid w:val="00411C75"/>
    <w:rsid w:val="0041452C"/>
    <w:rsid w:val="0041663B"/>
    <w:rsid w:val="00416D0F"/>
    <w:rsid w:val="004175B6"/>
    <w:rsid w:val="00421D90"/>
    <w:rsid w:val="00421F18"/>
    <w:rsid w:val="00424929"/>
    <w:rsid w:val="00424C68"/>
    <w:rsid w:val="00432C41"/>
    <w:rsid w:val="004418A5"/>
    <w:rsid w:val="004436C9"/>
    <w:rsid w:val="00444CDA"/>
    <w:rsid w:val="00445D2C"/>
    <w:rsid w:val="004500AF"/>
    <w:rsid w:val="004515E8"/>
    <w:rsid w:val="00451932"/>
    <w:rsid w:val="00454C8A"/>
    <w:rsid w:val="004556EA"/>
    <w:rsid w:val="0045579D"/>
    <w:rsid w:val="00455BC3"/>
    <w:rsid w:val="004569A0"/>
    <w:rsid w:val="00457763"/>
    <w:rsid w:val="0046070A"/>
    <w:rsid w:val="00460F4E"/>
    <w:rsid w:val="00462E7F"/>
    <w:rsid w:val="004642D0"/>
    <w:rsid w:val="00470463"/>
    <w:rsid w:val="00470860"/>
    <w:rsid w:val="00472B97"/>
    <w:rsid w:val="00481EFB"/>
    <w:rsid w:val="00482306"/>
    <w:rsid w:val="00487628"/>
    <w:rsid w:val="00487921"/>
    <w:rsid w:val="00491D9D"/>
    <w:rsid w:val="004931D1"/>
    <w:rsid w:val="0049781F"/>
    <w:rsid w:val="004A0863"/>
    <w:rsid w:val="004A1FE8"/>
    <w:rsid w:val="004A2BED"/>
    <w:rsid w:val="004A4B37"/>
    <w:rsid w:val="004A5371"/>
    <w:rsid w:val="004A7CED"/>
    <w:rsid w:val="004B0622"/>
    <w:rsid w:val="004B1995"/>
    <w:rsid w:val="004B1C8C"/>
    <w:rsid w:val="004B1E8D"/>
    <w:rsid w:val="004B46F2"/>
    <w:rsid w:val="004B63A7"/>
    <w:rsid w:val="004B69B8"/>
    <w:rsid w:val="004C2D7C"/>
    <w:rsid w:val="004C46DC"/>
    <w:rsid w:val="004C4A87"/>
    <w:rsid w:val="004D58E0"/>
    <w:rsid w:val="004D602B"/>
    <w:rsid w:val="004D6B69"/>
    <w:rsid w:val="004E0320"/>
    <w:rsid w:val="004E48EE"/>
    <w:rsid w:val="004E52C4"/>
    <w:rsid w:val="004E55B5"/>
    <w:rsid w:val="004E64B3"/>
    <w:rsid w:val="004E67EF"/>
    <w:rsid w:val="004F1011"/>
    <w:rsid w:val="004F44DB"/>
    <w:rsid w:val="004F45F7"/>
    <w:rsid w:val="004F6AD7"/>
    <w:rsid w:val="0050005C"/>
    <w:rsid w:val="0050079C"/>
    <w:rsid w:val="00502832"/>
    <w:rsid w:val="005037CC"/>
    <w:rsid w:val="005049BF"/>
    <w:rsid w:val="00504B72"/>
    <w:rsid w:val="00510A91"/>
    <w:rsid w:val="00513E57"/>
    <w:rsid w:val="00514640"/>
    <w:rsid w:val="005159D5"/>
    <w:rsid w:val="005207A1"/>
    <w:rsid w:val="00522DD6"/>
    <w:rsid w:val="0052486A"/>
    <w:rsid w:val="005250DA"/>
    <w:rsid w:val="00530840"/>
    <w:rsid w:val="00532139"/>
    <w:rsid w:val="00533EBE"/>
    <w:rsid w:val="005348A5"/>
    <w:rsid w:val="005402E2"/>
    <w:rsid w:val="00540808"/>
    <w:rsid w:val="0054220F"/>
    <w:rsid w:val="00545F90"/>
    <w:rsid w:val="005508E3"/>
    <w:rsid w:val="005533C5"/>
    <w:rsid w:val="00553E3A"/>
    <w:rsid w:val="00554313"/>
    <w:rsid w:val="00554FFC"/>
    <w:rsid w:val="00555590"/>
    <w:rsid w:val="00560AA8"/>
    <w:rsid w:val="0056178C"/>
    <w:rsid w:val="005669EE"/>
    <w:rsid w:val="00566B6D"/>
    <w:rsid w:val="00566DC7"/>
    <w:rsid w:val="00570D80"/>
    <w:rsid w:val="00573637"/>
    <w:rsid w:val="005747E2"/>
    <w:rsid w:val="0057730D"/>
    <w:rsid w:val="00581612"/>
    <w:rsid w:val="00584F5D"/>
    <w:rsid w:val="005859A2"/>
    <w:rsid w:val="005919E5"/>
    <w:rsid w:val="005965D7"/>
    <w:rsid w:val="005A0A6F"/>
    <w:rsid w:val="005A1068"/>
    <w:rsid w:val="005A10E7"/>
    <w:rsid w:val="005A1B8F"/>
    <w:rsid w:val="005A30F3"/>
    <w:rsid w:val="005B14DF"/>
    <w:rsid w:val="005B4E76"/>
    <w:rsid w:val="005B515A"/>
    <w:rsid w:val="005B67C2"/>
    <w:rsid w:val="005C0694"/>
    <w:rsid w:val="005C082B"/>
    <w:rsid w:val="005C2288"/>
    <w:rsid w:val="005C377C"/>
    <w:rsid w:val="005C37B5"/>
    <w:rsid w:val="005C5A45"/>
    <w:rsid w:val="005C5A89"/>
    <w:rsid w:val="005C6086"/>
    <w:rsid w:val="005C705A"/>
    <w:rsid w:val="005C70C0"/>
    <w:rsid w:val="005C7423"/>
    <w:rsid w:val="005C7AD5"/>
    <w:rsid w:val="005D0C39"/>
    <w:rsid w:val="005D0FA1"/>
    <w:rsid w:val="005D2914"/>
    <w:rsid w:val="005D3373"/>
    <w:rsid w:val="005D6FFC"/>
    <w:rsid w:val="005E014B"/>
    <w:rsid w:val="005E0A01"/>
    <w:rsid w:val="005E0E1B"/>
    <w:rsid w:val="005E280E"/>
    <w:rsid w:val="005E34F7"/>
    <w:rsid w:val="005F0E92"/>
    <w:rsid w:val="00603DFD"/>
    <w:rsid w:val="00605293"/>
    <w:rsid w:val="00605C11"/>
    <w:rsid w:val="00606C60"/>
    <w:rsid w:val="00610B9A"/>
    <w:rsid w:val="00613E1D"/>
    <w:rsid w:val="00616390"/>
    <w:rsid w:val="00620073"/>
    <w:rsid w:val="00621038"/>
    <w:rsid w:val="006212C8"/>
    <w:rsid w:val="00623D3B"/>
    <w:rsid w:val="00623DE7"/>
    <w:rsid w:val="00625796"/>
    <w:rsid w:val="0063062F"/>
    <w:rsid w:val="00631E93"/>
    <w:rsid w:val="00632B7A"/>
    <w:rsid w:val="00633873"/>
    <w:rsid w:val="00633A25"/>
    <w:rsid w:val="006348BA"/>
    <w:rsid w:val="00636213"/>
    <w:rsid w:val="006406AA"/>
    <w:rsid w:val="00641CFF"/>
    <w:rsid w:val="006441F5"/>
    <w:rsid w:val="00650681"/>
    <w:rsid w:val="00655E46"/>
    <w:rsid w:val="0066356D"/>
    <w:rsid w:val="00664322"/>
    <w:rsid w:val="0066474F"/>
    <w:rsid w:val="00665780"/>
    <w:rsid w:val="00667D07"/>
    <w:rsid w:val="00670E7D"/>
    <w:rsid w:val="00673899"/>
    <w:rsid w:val="006741E3"/>
    <w:rsid w:val="006804EE"/>
    <w:rsid w:val="0068050B"/>
    <w:rsid w:val="00681C15"/>
    <w:rsid w:val="00683548"/>
    <w:rsid w:val="006858C7"/>
    <w:rsid w:val="00686802"/>
    <w:rsid w:val="006871D4"/>
    <w:rsid w:val="00693F94"/>
    <w:rsid w:val="00695049"/>
    <w:rsid w:val="006959B9"/>
    <w:rsid w:val="00697A40"/>
    <w:rsid w:val="00697BC8"/>
    <w:rsid w:val="006A2220"/>
    <w:rsid w:val="006A35C4"/>
    <w:rsid w:val="006A3823"/>
    <w:rsid w:val="006B3FDF"/>
    <w:rsid w:val="006B4327"/>
    <w:rsid w:val="006B6FDB"/>
    <w:rsid w:val="006B7F87"/>
    <w:rsid w:val="006C00D1"/>
    <w:rsid w:val="006C0645"/>
    <w:rsid w:val="006C0CF2"/>
    <w:rsid w:val="006C1855"/>
    <w:rsid w:val="006C1C18"/>
    <w:rsid w:val="006C6241"/>
    <w:rsid w:val="006C6C8A"/>
    <w:rsid w:val="006D063C"/>
    <w:rsid w:val="006D368B"/>
    <w:rsid w:val="006D4889"/>
    <w:rsid w:val="006D68AC"/>
    <w:rsid w:val="006D76FF"/>
    <w:rsid w:val="006D7D40"/>
    <w:rsid w:val="006F1DC5"/>
    <w:rsid w:val="006F34A1"/>
    <w:rsid w:val="006F3FAE"/>
    <w:rsid w:val="006F5280"/>
    <w:rsid w:val="006F5731"/>
    <w:rsid w:val="007003DA"/>
    <w:rsid w:val="00700E80"/>
    <w:rsid w:val="0070197E"/>
    <w:rsid w:val="00707C28"/>
    <w:rsid w:val="00707F96"/>
    <w:rsid w:val="00711059"/>
    <w:rsid w:val="00711AEF"/>
    <w:rsid w:val="00717124"/>
    <w:rsid w:val="00721B88"/>
    <w:rsid w:val="00723255"/>
    <w:rsid w:val="00724AC0"/>
    <w:rsid w:val="00730011"/>
    <w:rsid w:val="007356A9"/>
    <w:rsid w:val="00736CCF"/>
    <w:rsid w:val="007405B1"/>
    <w:rsid w:val="00740FB2"/>
    <w:rsid w:val="00741CFC"/>
    <w:rsid w:val="00742873"/>
    <w:rsid w:val="00743548"/>
    <w:rsid w:val="007504CF"/>
    <w:rsid w:val="0075158A"/>
    <w:rsid w:val="007530E3"/>
    <w:rsid w:val="00754479"/>
    <w:rsid w:val="00762CB5"/>
    <w:rsid w:val="00772DD2"/>
    <w:rsid w:val="00772FC5"/>
    <w:rsid w:val="00781AED"/>
    <w:rsid w:val="007831B0"/>
    <w:rsid w:val="00783B22"/>
    <w:rsid w:val="007900BC"/>
    <w:rsid w:val="0079288D"/>
    <w:rsid w:val="0079307F"/>
    <w:rsid w:val="007A085D"/>
    <w:rsid w:val="007A2BF0"/>
    <w:rsid w:val="007A409C"/>
    <w:rsid w:val="007A6897"/>
    <w:rsid w:val="007B32BF"/>
    <w:rsid w:val="007B475D"/>
    <w:rsid w:val="007B698E"/>
    <w:rsid w:val="007B71A4"/>
    <w:rsid w:val="007B720C"/>
    <w:rsid w:val="007B78CA"/>
    <w:rsid w:val="007C0098"/>
    <w:rsid w:val="007C2757"/>
    <w:rsid w:val="007C4285"/>
    <w:rsid w:val="007C42D8"/>
    <w:rsid w:val="007C5CEE"/>
    <w:rsid w:val="007C7671"/>
    <w:rsid w:val="007D188F"/>
    <w:rsid w:val="007D1BAB"/>
    <w:rsid w:val="007D3B01"/>
    <w:rsid w:val="007E394C"/>
    <w:rsid w:val="007E4D62"/>
    <w:rsid w:val="007F1E80"/>
    <w:rsid w:val="007F2755"/>
    <w:rsid w:val="007F299B"/>
    <w:rsid w:val="007F3020"/>
    <w:rsid w:val="00800F7C"/>
    <w:rsid w:val="00805B4C"/>
    <w:rsid w:val="0080757B"/>
    <w:rsid w:val="008133F9"/>
    <w:rsid w:val="008211C2"/>
    <w:rsid w:val="008215E0"/>
    <w:rsid w:val="008219C0"/>
    <w:rsid w:val="00823A93"/>
    <w:rsid w:val="0082517D"/>
    <w:rsid w:val="00833ADB"/>
    <w:rsid w:val="00835E4A"/>
    <w:rsid w:val="0083722D"/>
    <w:rsid w:val="00840F5B"/>
    <w:rsid w:val="008436BC"/>
    <w:rsid w:val="008460A7"/>
    <w:rsid w:val="00847C9D"/>
    <w:rsid w:val="0085059E"/>
    <w:rsid w:val="00853CA0"/>
    <w:rsid w:val="00863EEA"/>
    <w:rsid w:val="0086506B"/>
    <w:rsid w:val="00865B33"/>
    <w:rsid w:val="008666A2"/>
    <w:rsid w:val="00871E93"/>
    <w:rsid w:val="00875570"/>
    <w:rsid w:val="00875F71"/>
    <w:rsid w:val="008824E8"/>
    <w:rsid w:val="00883FCC"/>
    <w:rsid w:val="00884D59"/>
    <w:rsid w:val="008905A4"/>
    <w:rsid w:val="00892ECF"/>
    <w:rsid w:val="00893A83"/>
    <w:rsid w:val="008948CD"/>
    <w:rsid w:val="00895777"/>
    <w:rsid w:val="00896C24"/>
    <w:rsid w:val="008972D5"/>
    <w:rsid w:val="008A04C3"/>
    <w:rsid w:val="008A21B4"/>
    <w:rsid w:val="008A2A44"/>
    <w:rsid w:val="008A65FA"/>
    <w:rsid w:val="008A676D"/>
    <w:rsid w:val="008B1A87"/>
    <w:rsid w:val="008B2748"/>
    <w:rsid w:val="008B3921"/>
    <w:rsid w:val="008B4303"/>
    <w:rsid w:val="008B4E39"/>
    <w:rsid w:val="008C0CA5"/>
    <w:rsid w:val="008C1F35"/>
    <w:rsid w:val="008C285F"/>
    <w:rsid w:val="008C4024"/>
    <w:rsid w:val="008C5F31"/>
    <w:rsid w:val="008C6E8A"/>
    <w:rsid w:val="008C7FDE"/>
    <w:rsid w:val="008D10F9"/>
    <w:rsid w:val="008D7F7F"/>
    <w:rsid w:val="008E1EF7"/>
    <w:rsid w:val="008E48AE"/>
    <w:rsid w:val="008E4B52"/>
    <w:rsid w:val="008E4D3C"/>
    <w:rsid w:val="008F002F"/>
    <w:rsid w:val="008F14BD"/>
    <w:rsid w:val="009019A9"/>
    <w:rsid w:val="00905026"/>
    <w:rsid w:val="0090794E"/>
    <w:rsid w:val="00907CA4"/>
    <w:rsid w:val="009138BA"/>
    <w:rsid w:val="00914B20"/>
    <w:rsid w:val="00914C66"/>
    <w:rsid w:val="00916361"/>
    <w:rsid w:val="00920821"/>
    <w:rsid w:val="009225E2"/>
    <w:rsid w:val="00923B38"/>
    <w:rsid w:val="00924514"/>
    <w:rsid w:val="00931610"/>
    <w:rsid w:val="00932A08"/>
    <w:rsid w:val="00932A24"/>
    <w:rsid w:val="00932F61"/>
    <w:rsid w:val="0093342D"/>
    <w:rsid w:val="00937DAF"/>
    <w:rsid w:val="009402D9"/>
    <w:rsid w:val="00941EFC"/>
    <w:rsid w:val="009424D2"/>
    <w:rsid w:val="00946B89"/>
    <w:rsid w:val="00946EB9"/>
    <w:rsid w:val="009500AE"/>
    <w:rsid w:val="009506B8"/>
    <w:rsid w:val="00952064"/>
    <w:rsid w:val="009539D8"/>
    <w:rsid w:val="00955618"/>
    <w:rsid w:val="0095644A"/>
    <w:rsid w:val="009577F2"/>
    <w:rsid w:val="0095797D"/>
    <w:rsid w:val="009579D6"/>
    <w:rsid w:val="0096012A"/>
    <w:rsid w:val="00960A95"/>
    <w:rsid w:val="00961ABD"/>
    <w:rsid w:val="00961E92"/>
    <w:rsid w:val="00970386"/>
    <w:rsid w:val="00974F8F"/>
    <w:rsid w:val="00977DAF"/>
    <w:rsid w:val="00981750"/>
    <w:rsid w:val="00981B92"/>
    <w:rsid w:val="009831FF"/>
    <w:rsid w:val="00994099"/>
    <w:rsid w:val="009960D0"/>
    <w:rsid w:val="009965D9"/>
    <w:rsid w:val="009A14BD"/>
    <w:rsid w:val="009A17F6"/>
    <w:rsid w:val="009A256C"/>
    <w:rsid w:val="009A3863"/>
    <w:rsid w:val="009A527C"/>
    <w:rsid w:val="009A5946"/>
    <w:rsid w:val="009B08CC"/>
    <w:rsid w:val="009B5A28"/>
    <w:rsid w:val="009C2EBD"/>
    <w:rsid w:val="009C2F8D"/>
    <w:rsid w:val="009C4405"/>
    <w:rsid w:val="009C4E09"/>
    <w:rsid w:val="009C55F5"/>
    <w:rsid w:val="009C75BB"/>
    <w:rsid w:val="009D479B"/>
    <w:rsid w:val="009D6B32"/>
    <w:rsid w:val="009D7AEB"/>
    <w:rsid w:val="009D7F57"/>
    <w:rsid w:val="009E33AB"/>
    <w:rsid w:val="009E4E4A"/>
    <w:rsid w:val="009E6584"/>
    <w:rsid w:val="009E71AF"/>
    <w:rsid w:val="009E71E0"/>
    <w:rsid w:val="009F2F05"/>
    <w:rsid w:val="009F3AA0"/>
    <w:rsid w:val="009F76E0"/>
    <w:rsid w:val="00A009BF"/>
    <w:rsid w:val="00A03A21"/>
    <w:rsid w:val="00A0403A"/>
    <w:rsid w:val="00A06831"/>
    <w:rsid w:val="00A06D1E"/>
    <w:rsid w:val="00A072EC"/>
    <w:rsid w:val="00A0765C"/>
    <w:rsid w:val="00A15CB1"/>
    <w:rsid w:val="00A15DF7"/>
    <w:rsid w:val="00A2010F"/>
    <w:rsid w:val="00A2012D"/>
    <w:rsid w:val="00A211A4"/>
    <w:rsid w:val="00A21D53"/>
    <w:rsid w:val="00A22234"/>
    <w:rsid w:val="00A25994"/>
    <w:rsid w:val="00A27B57"/>
    <w:rsid w:val="00A30492"/>
    <w:rsid w:val="00A3618F"/>
    <w:rsid w:val="00A36459"/>
    <w:rsid w:val="00A45229"/>
    <w:rsid w:val="00A47496"/>
    <w:rsid w:val="00A50DA4"/>
    <w:rsid w:val="00A5107A"/>
    <w:rsid w:val="00A51CA1"/>
    <w:rsid w:val="00A51F0B"/>
    <w:rsid w:val="00A548F0"/>
    <w:rsid w:val="00A57D84"/>
    <w:rsid w:val="00A6008F"/>
    <w:rsid w:val="00A612E7"/>
    <w:rsid w:val="00A64976"/>
    <w:rsid w:val="00A674E9"/>
    <w:rsid w:val="00A70EBB"/>
    <w:rsid w:val="00A71C38"/>
    <w:rsid w:val="00A726C6"/>
    <w:rsid w:val="00A727F9"/>
    <w:rsid w:val="00A72DD9"/>
    <w:rsid w:val="00A7384C"/>
    <w:rsid w:val="00A74AFF"/>
    <w:rsid w:val="00A755F1"/>
    <w:rsid w:val="00A76B8C"/>
    <w:rsid w:val="00A82217"/>
    <w:rsid w:val="00A8254F"/>
    <w:rsid w:val="00A82BE2"/>
    <w:rsid w:val="00A83511"/>
    <w:rsid w:val="00A85818"/>
    <w:rsid w:val="00A90D74"/>
    <w:rsid w:val="00A91464"/>
    <w:rsid w:val="00A91BEB"/>
    <w:rsid w:val="00A927A3"/>
    <w:rsid w:val="00A92F40"/>
    <w:rsid w:val="00A969EE"/>
    <w:rsid w:val="00AA028F"/>
    <w:rsid w:val="00AA28B4"/>
    <w:rsid w:val="00AA3D96"/>
    <w:rsid w:val="00AA4DC6"/>
    <w:rsid w:val="00AA5A26"/>
    <w:rsid w:val="00AA78AA"/>
    <w:rsid w:val="00AB0D84"/>
    <w:rsid w:val="00AB1214"/>
    <w:rsid w:val="00AB1799"/>
    <w:rsid w:val="00AB30E9"/>
    <w:rsid w:val="00AB335F"/>
    <w:rsid w:val="00AB4731"/>
    <w:rsid w:val="00AC190A"/>
    <w:rsid w:val="00AC3BBE"/>
    <w:rsid w:val="00AC43A6"/>
    <w:rsid w:val="00AC49D6"/>
    <w:rsid w:val="00AC5A40"/>
    <w:rsid w:val="00AC72C0"/>
    <w:rsid w:val="00AD0B67"/>
    <w:rsid w:val="00AD6546"/>
    <w:rsid w:val="00AD65DC"/>
    <w:rsid w:val="00AD6CA3"/>
    <w:rsid w:val="00AD6EAB"/>
    <w:rsid w:val="00AE1165"/>
    <w:rsid w:val="00AE1382"/>
    <w:rsid w:val="00AF0A96"/>
    <w:rsid w:val="00AF1861"/>
    <w:rsid w:val="00AF54FB"/>
    <w:rsid w:val="00AF767D"/>
    <w:rsid w:val="00B00862"/>
    <w:rsid w:val="00B0095D"/>
    <w:rsid w:val="00B027F2"/>
    <w:rsid w:val="00B03A1C"/>
    <w:rsid w:val="00B057B8"/>
    <w:rsid w:val="00B058D8"/>
    <w:rsid w:val="00B06CAA"/>
    <w:rsid w:val="00B13338"/>
    <w:rsid w:val="00B1498A"/>
    <w:rsid w:val="00B1695C"/>
    <w:rsid w:val="00B273F1"/>
    <w:rsid w:val="00B302D4"/>
    <w:rsid w:val="00B35696"/>
    <w:rsid w:val="00B37E6F"/>
    <w:rsid w:val="00B41022"/>
    <w:rsid w:val="00B43948"/>
    <w:rsid w:val="00B43AE0"/>
    <w:rsid w:val="00B4578A"/>
    <w:rsid w:val="00B54895"/>
    <w:rsid w:val="00B55E4C"/>
    <w:rsid w:val="00B57A89"/>
    <w:rsid w:val="00B73D00"/>
    <w:rsid w:val="00B75C60"/>
    <w:rsid w:val="00B76834"/>
    <w:rsid w:val="00B77099"/>
    <w:rsid w:val="00B80943"/>
    <w:rsid w:val="00B81761"/>
    <w:rsid w:val="00B81F27"/>
    <w:rsid w:val="00B83A4A"/>
    <w:rsid w:val="00B86A3E"/>
    <w:rsid w:val="00B86D16"/>
    <w:rsid w:val="00B91A03"/>
    <w:rsid w:val="00B9348A"/>
    <w:rsid w:val="00B94C5E"/>
    <w:rsid w:val="00B966EF"/>
    <w:rsid w:val="00B96B68"/>
    <w:rsid w:val="00B96EDD"/>
    <w:rsid w:val="00B97843"/>
    <w:rsid w:val="00BA147A"/>
    <w:rsid w:val="00BA2C86"/>
    <w:rsid w:val="00BA3640"/>
    <w:rsid w:val="00BA5A70"/>
    <w:rsid w:val="00BA5D7E"/>
    <w:rsid w:val="00BA79D8"/>
    <w:rsid w:val="00BB04D4"/>
    <w:rsid w:val="00BB07C4"/>
    <w:rsid w:val="00BB4197"/>
    <w:rsid w:val="00BB59A3"/>
    <w:rsid w:val="00BB660A"/>
    <w:rsid w:val="00BC13B6"/>
    <w:rsid w:val="00BC3B04"/>
    <w:rsid w:val="00BC4549"/>
    <w:rsid w:val="00BD3F7D"/>
    <w:rsid w:val="00BD3FB1"/>
    <w:rsid w:val="00BD5C55"/>
    <w:rsid w:val="00BD7666"/>
    <w:rsid w:val="00BE662A"/>
    <w:rsid w:val="00BF286D"/>
    <w:rsid w:val="00BF3F51"/>
    <w:rsid w:val="00BF43A2"/>
    <w:rsid w:val="00BF5285"/>
    <w:rsid w:val="00C03786"/>
    <w:rsid w:val="00C04B45"/>
    <w:rsid w:val="00C04DBC"/>
    <w:rsid w:val="00C10266"/>
    <w:rsid w:val="00C11085"/>
    <w:rsid w:val="00C11A31"/>
    <w:rsid w:val="00C1261B"/>
    <w:rsid w:val="00C1327E"/>
    <w:rsid w:val="00C2268D"/>
    <w:rsid w:val="00C249FF"/>
    <w:rsid w:val="00C24C7F"/>
    <w:rsid w:val="00C27B3B"/>
    <w:rsid w:val="00C30831"/>
    <w:rsid w:val="00C30FB1"/>
    <w:rsid w:val="00C32C41"/>
    <w:rsid w:val="00C32ED0"/>
    <w:rsid w:val="00C36892"/>
    <w:rsid w:val="00C37060"/>
    <w:rsid w:val="00C37470"/>
    <w:rsid w:val="00C43BF6"/>
    <w:rsid w:val="00C45D5B"/>
    <w:rsid w:val="00C47C84"/>
    <w:rsid w:val="00C51C1C"/>
    <w:rsid w:val="00C534BE"/>
    <w:rsid w:val="00C546B4"/>
    <w:rsid w:val="00C55AF1"/>
    <w:rsid w:val="00C60D56"/>
    <w:rsid w:val="00C616AA"/>
    <w:rsid w:val="00C647A4"/>
    <w:rsid w:val="00C65F07"/>
    <w:rsid w:val="00C66577"/>
    <w:rsid w:val="00C66B9E"/>
    <w:rsid w:val="00C72190"/>
    <w:rsid w:val="00C743A5"/>
    <w:rsid w:val="00C80A25"/>
    <w:rsid w:val="00C8347F"/>
    <w:rsid w:val="00C83CB3"/>
    <w:rsid w:val="00C83E66"/>
    <w:rsid w:val="00C83EFD"/>
    <w:rsid w:val="00C83F1F"/>
    <w:rsid w:val="00C95815"/>
    <w:rsid w:val="00C96ED0"/>
    <w:rsid w:val="00CA3C80"/>
    <w:rsid w:val="00CA760C"/>
    <w:rsid w:val="00CA7A9D"/>
    <w:rsid w:val="00CB56F7"/>
    <w:rsid w:val="00CB7EEA"/>
    <w:rsid w:val="00CC13D5"/>
    <w:rsid w:val="00CC1489"/>
    <w:rsid w:val="00CC521F"/>
    <w:rsid w:val="00CD1AA1"/>
    <w:rsid w:val="00CD27EF"/>
    <w:rsid w:val="00CD366F"/>
    <w:rsid w:val="00CD39DD"/>
    <w:rsid w:val="00CD4ECE"/>
    <w:rsid w:val="00CD55A9"/>
    <w:rsid w:val="00CE07FE"/>
    <w:rsid w:val="00CE0F1F"/>
    <w:rsid w:val="00CE3AB9"/>
    <w:rsid w:val="00CE3CC4"/>
    <w:rsid w:val="00CE56F6"/>
    <w:rsid w:val="00CE618F"/>
    <w:rsid w:val="00CE6D0A"/>
    <w:rsid w:val="00CF41E0"/>
    <w:rsid w:val="00CF6F27"/>
    <w:rsid w:val="00CF743F"/>
    <w:rsid w:val="00D0080A"/>
    <w:rsid w:val="00D00DD5"/>
    <w:rsid w:val="00D02820"/>
    <w:rsid w:val="00D02D8B"/>
    <w:rsid w:val="00D14C30"/>
    <w:rsid w:val="00D21C2F"/>
    <w:rsid w:val="00D2382C"/>
    <w:rsid w:val="00D26774"/>
    <w:rsid w:val="00D275A8"/>
    <w:rsid w:val="00D2791D"/>
    <w:rsid w:val="00D3193C"/>
    <w:rsid w:val="00D428FE"/>
    <w:rsid w:val="00D43F57"/>
    <w:rsid w:val="00D45DEC"/>
    <w:rsid w:val="00D507AA"/>
    <w:rsid w:val="00D52594"/>
    <w:rsid w:val="00D55A68"/>
    <w:rsid w:val="00D637BD"/>
    <w:rsid w:val="00D64B25"/>
    <w:rsid w:val="00D65CE1"/>
    <w:rsid w:val="00D660A5"/>
    <w:rsid w:val="00D670A1"/>
    <w:rsid w:val="00D70C32"/>
    <w:rsid w:val="00D7218F"/>
    <w:rsid w:val="00D76051"/>
    <w:rsid w:val="00D81A4C"/>
    <w:rsid w:val="00D81CDB"/>
    <w:rsid w:val="00D8476F"/>
    <w:rsid w:val="00D848CA"/>
    <w:rsid w:val="00D86435"/>
    <w:rsid w:val="00D918C1"/>
    <w:rsid w:val="00D92AF5"/>
    <w:rsid w:val="00D9706B"/>
    <w:rsid w:val="00DA23E6"/>
    <w:rsid w:val="00DA2461"/>
    <w:rsid w:val="00DA5DC2"/>
    <w:rsid w:val="00DA6B1B"/>
    <w:rsid w:val="00DA7B5F"/>
    <w:rsid w:val="00DB2EC2"/>
    <w:rsid w:val="00DB57B9"/>
    <w:rsid w:val="00DB6D4A"/>
    <w:rsid w:val="00DB7390"/>
    <w:rsid w:val="00DB7EC1"/>
    <w:rsid w:val="00DC3F9C"/>
    <w:rsid w:val="00DD3972"/>
    <w:rsid w:val="00DD4344"/>
    <w:rsid w:val="00DD69C8"/>
    <w:rsid w:val="00DE0E6B"/>
    <w:rsid w:val="00DE1437"/>
    <w:rsid w:val="00DE2A10"/>
    <w:rsid w:val="00DE2ACA"/>
    <w:rsid w:val="00DE52AF"/>
    <w:rsid w:val="00DE533D"/>
    <w:rsid w:val="00DE6107"/>
    <w:rsid w:val="00DE7B50"/>
    <w:rsid w:val="00DF0145"/>
    <w:rsid w:val="00DF0933"/>
    <w:rsid w:val="00DF155C"/>
    <w:rsid w:val="00DF3DD7"/>
    <w:rsid w:val="00DF6A19"/>
    <w:rsid w:val="00DF7384"/>
    <w:rsid w:val="00DF755B"/>
    <w:rsid w:val="00E0344B"/>
    <w:rsid w:val="00E05649"/>
    <w:rsid w:val="00E05C9F"/>
    <w:rsid w:val="00E115BE"/>
    <w:rsid w:val="00E1217D"/>
    <w:rsid w:val="00E14D1A"/>
    <w:rsid w:val="00E1618B"/>
    <w:rsid w:val="00E26D94"/>
    <w:rsid w:val="00E26F64"/>
    <w:rsid w:val="00E27F07"/>
    <w:rsid w:val="00E3210F"/>
    <w:rsid w:val="00E3236C"/>
    <w:rsid w:val="00E323BC"/>
    <w:rsid w:val="00E3370A"/>
    <w:rsid w:val="00E366BE"/>
    <w:rsid w:val="00E36BCC"/>
    <w:rsid w:val="00E422D7"/>
    <w:rsid w:val="00E42CCD"/>
    <w:rsid w:val="00E45D34"/>
    <w:rsid w:val="00E477D2"/>
    <w:rsid w:val="00E61584"/>
    <w:rsid w:val="00E617AA"/>
    <w:rsid w:val="00E637C5"/>
    <w:rsid w:val="00E704A2"/>
    <w:rsid w:val="00E70B85"/>
    <w:rsid w:val="00E81EC5"/>
    <w:rsid w:val="00E8266A"/>
    <w:rsid w:val="00E85685"/>
    <w:rsid w:val="00E85974"/>
    <w:rsid w:val="00E87091"/>
    <w:rsid w:val="00E9081C"/>
    <w:rsid w:val="00E90DAA"/>
    <w:rsid w:val="00E90E57"/>
    <w:rsid w:val="00E91A07"/>
    <w:rsid w:val="00E96320"/>
    <w:rsid w:val="00EA3500"/>
    <w:rsid w:val="00EA5199"/>
    <w:rsid w:val="00EB525B"/>
    <w:rsid w:val="00EB72D5"/>
    <w:rsid w:val="00EB77D6"/>
    <w:rsid w:val="00EC0826"/>
    <w:rsid w:val="00EC1A24"/>
    <w:rsid w:val="00EC1AC5"/>
    <w:rsid w:val="00EC3C83"/>
    <w:rsid w:val="00EC4550"/>
    <w:rsid w:val="00EC61FC"/>
    <w:rsid w:val="00ED0CD5"/>
    <w:rsid w:val="00ED0DDD"/>
    <w:rsid w:val="00ED2855"/>
    <w:rsid w:val="00ED42AD"/>
    <w:rsid w:val="00ED647D"/>
    <w:rsid w:val="00EE1D35"/>
    <w:rsid w:val="00EE32AD"/>
    <w:rsid w:val="00EE3548"/>
    <w:rsid w:val="00EE4507"/>
    <w:rsid w:val="00EE7DD8"/>
    <w:rsid w:val="00EF373D"/>
    <w:rsid w:val="00EF3CA6"/>
    <w:rsid w:val="00EF3DF3"/>
    <w:rsid w:val="00EF5BE5"/>
    <w:rsid w:val="00F00371"/>
    <w:rsid w:val="00F010EA"/>
    <w:rsid w:val="00F047DD"/>
    <w:rsid w:val="00F05C83"/>
    <w:rsid w:val="00F06796"/>
    <w:rsid w:val="00F11B95"/>
    <w:rsid w:val="00F11C15"/>
    <w:rsid w:val="00F13A4E"/>
    <w:rsid w:val="00F15BBB"/>
    <w:rsid w:val="00F160FE"/>
    <w:rsid w:val="00F17480"/>
    <w:rsid w:val="00F20598"/>
    <w:rsid w:val="00F20DEB"/>
    <w:rsid w:val="00F21AA2"/>
    <w:rsid w:val="00F22C19"/>
    <w:rsid w:val="00F27956"/>
    <w:rsid w:val="00F32987"/>
    <w:rsid w:val="00F36715"/>
    <w:rsid w:val="00F466AF"/>
    <w:rsid w:val="00F5053F"/>
    <w:rsid w:val="00F52E68"/>
    <w:rsid w:val="00F57632"/>
    <w:rsid w:val="00F5763B"/>
    <w:rsid w:val="00F629CC"/>
    <w:rsid w:val="00F642E2"/>
    <w:rsid w:val="00F718AA"/>
    <w:rsid w:val="00F71958"/>
    <w:rsid w:val="00F776D1"/>
    <w:rsid w:val="00F80D55"/>
    <w:rsid w:val="00F80E88"/>
    <w:rsid w:val="00F83543"/>
    <w:rsid w:val="00F84B6E"/>
    <w:rsid w:val="00F84CD1"/>
    <w:rsid w:val="00F856FF"/>
    <w:rsid w:val="00F90E34"/>
    <w:rsid w:val="00F91E90"/>
    <w:rsid w:val="00FA0C3D"/>
    <w:rsid w:val="00FA17F0"/>
    <w:rsid w:val="00FA2D3B"/>
    <w:rsid w:val="00FB020E"/>
    <w:rsid w:val="00FB2261"/>
    <w:rsid w:val="00FB4100"/>
    <w:rsid w:val="00FC3686"/>
    <w:rsid w:val="00FC7AC3"/>
    <w:rsid w:val="00FD01C7"/>
    <w:rsid w:val="00FD7ADC"/>
    <w:rsid w:val="00FE1189"/>
    <w:rsid w:val="00FE2982"/>
    <w:rsid w:val="00FF136C"/>
    <w:rsid w:val="00FF2DF7"/>
    <w:rsid w:val="00FF31FD"/>
    <w:rsid w:val="00FF354A"/>
    <w:rsid w:val="00FF37C9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30AD6"/>
  <w15:docId w15:val="{F24F3B30-5059-4119-833D-08A53CEE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zh-CN" w:bidi="ar-SA"/>
      </w:rPr>
    </w:rPrDefault>
    <w:pPrDefault>
      <w:pPr>
        <w:tabs>
          <w:tab w:val="left" w:pos="567"/>
        </w:tabs>
        <w:spacing w:line="2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C18"/>
    <w:pPr>
      <w:tabs>
        <w:tab w:val="clear" w:pos="567"/>
      </w:tabs>
      <w:spacing w:line="240" w:lineRule="auto"/>
    </w:pPr>
    <w:rPr>
      <w:szCs w:val="20"/>
      <w:lang w:val="en-US" w:eastAsia="ja-JP"/>
    </w:rPr>
  </w:style>
  <w:style w:type="paragraph" w:styleId="Nadpis1">
    <w:name w:val="heading 1"/>
    <w:basedOn w:val="Normln"/>
    <w:next w:val="Normln"/>
    <w:qFormat/>
    <w:rsid w:val="006C1C18"/>
    <w:pPr>
      <w:ind w:left="567" w:hanging="567"/>
      <w:outlineLvl w:val="0"/>
    </w:pPr>
    <w:rPr>
      <w:b/>
      <w:caps/>
    </w:rPr>
  </w:style>
  <w:style w:type="paragraph" w:styleId="Nadpis2">
    <w:name w:val="heading 2"/>
    <w:basedOn w:val="Nadpis1"/>
    <w:next w:val="Normln"/>
    <w:qFormat/>
    <w:rsid w:val="006C1C18"/>
    <w:pPr>
      <w:outlineLvl w:val="1"/>
    </w:pPr>
    <w:rPr>
      <w:caps w:val="0"/>
    </w:rPr>
  </w:style>
  <w:style w:type="paragraph" w:styleId="Nadpis3">
    <w:name w:val="heading 3"/>
    <w:basedOn w:val="Normln"/>
    <w:next w:val="Normln"/>
    <w:qFormat/>
    <w:rsid w:val="006C1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spacing w:before="180" w:after="60"/>
      <w:ind w:left="1134" w:hanging="1134"/>
      <w:outlineLvl w:val="3"/>
    </w:pPr>
    <w:rPr>
      <w:rFonts w:ascii="Arial" w:eastAsia="Arial" w:hAnsi="Arial" w:cs="Arial"/>
      <w:b/>
      <w:i/>
      <w:sz w:val="24"/>
      <w:szCs w:val="24"/>
    </w:rPr>
  </w:style>
  <w:style w:type="paragraph" w:styleId="Nadpis5">
    <w:name w:val="heading 5"/>
    <w:basedOn w:val="Normln"/>
    <w:next w:val="Normln"/>
    <w:pPr>
      <w:keepNext/>
      <w:spacing w:before="180" w:after="60"/>
      <w:ind w:left="1701" w:hanging="1701"/>
      <w:outlineLvl w:val="4"/>
    </w:pPr>
    <w:rPr>
      <w:rFonts w:ascii="Arial" w:eastAsia="Arial" w:hAnsi="Arial" w:cs="Arial"/>
      <w:b/>
      <w:i/>
      <w:sz w:val="24"/>
      <w:szCs w:val="24"/>
    </w:rPr>
  </w:style>
  <w:style w:type="paragraph" w:styleId="Nadpis6">
    <w:name w:val="heading 6"/>
    <w:basedOn w:val="Normln"/>
    <w:next w:val="Normln"/>
    <w:pPr>
      <w:keepNext/>
      <w:spacing w:before="180" w:after="60"/>
      <w:ind w:left="1701" w:hanging="1701"/>
      <w:outlineLvl w:val="5"/>
    </w:pPr>
    <w:rPr>
      <w:rFonts w:ascii="Arial" w:eastAsia="Arial" w:hAnsi="Arial" w:cs="Arial"/>
      <w:b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noProof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noProof/>
      <w:sz w:val="16"/>
      <w:szCs w:val="16"/>
    </w:rPr>
  </w:style>
  <w:style w:type="paragraph" w:styleId="Zhlav">
    <w:name w:val="header"/>
    <w:basedOn w:val="Normln"/>
    <w:link w:val="ZhlavChar"/>
    <w:rsid w:val="006C1C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6D0A"/>
    <w:rPr>
      <w:noProof/>
      <w:szCs w:val="20"/>
      <w:lang w:val="en-US" w:eastAsia="ja-JP"/>
    </w:rPr>
  </w:style>
  <w:style w:type="paragraph" w:styleId="Zpat">
    <w:name w:val="footer"/>
    <w:basedOn w:val="Normln"/>
    <w:link w:val="ZpatChar"/>
    <w:rsid w:val="006C1C18"/>
    <w:rPr>
      <w:rFonts w:ascii="Arial" w:hAnsi="Arial"/>
      <w:sz w:val="16"/>
    </w:rPr>
  </w:style>
  <w:style w:type="character" w:customStyle="1" w:styleId="ZpatChar">
    <w:name w:val="Zápatí Char"/>
    <w:basedOn w:val="Standardnpsmoodstavce"/>
    <w:link w:val="Zpat"/>
    <w:rsid w:val="00CE6D0A"/>
    <w:rPr>
      <w:rFonts w:ascii="Arial" w:hAnsi="Arial"/>
      <w:noProof/>
      <w:sz w:val="16"/>
      <w:szCs w:val="20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A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A03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491D9D"/>
    <w:pPr>
      <w:tabs>
        <w:tab w:val="clear" w:pos="567"/>
      </w:tabs>
      <w:autoSpaceDE w:val="0"/>
      <w:autoSpaceDN w:val="0"/>
      <w:adjustRightInd w:val="0"/>
      <w:spacing w:line="240" w:lineRule="auto"/>
    </w:pPr>
    <w:rPr>
      <w:rFonts w:eastAsia="SimSun"/>
      <w:color w:val="000000"/>
      <w:sz w:val="24"/>
      <w:szCs w:val="24"/>
      <w:lang w:val="en-US"/>
    </w:rPr>
  </w:style>
  <w:style w:type="character" w:customStyle="1" w:styleId="Hypertextovodkaz1">
    <w:name w:val="Hypertextový odkaz1"/>
    <w:rsid w:val="002702D7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17480"/>
    <w:pPr>
      <w:ind w:left="720"/>
    </w:pPr>
    <w:rPr>
      <w:rFonts w:ascii="Arial" w:eastAsia="SimSun" w:hAnsi="Arial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17480"/>
    <w:rPr>
      <w:rFonts w:ascii="Arial" w:eastAsia="SimSun" w:hAnsi="Arial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9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94E"/>
    <w:rPr>
      <w:b/>
      <w:bCs/>
      <w:noProof/>
      <w:sz w:val="20"/>
      <w:szCs w:val="20"/>
    </w:rPr>
  </w:style>
  <w:style w:type="paragraph" w:styleId="Revize">
    <w:name w:val="Revision"/>
    <w:hidden/>
    <w:uiPriority w:val="99"/>
    <w:semiHidden/>
    <w:rsid w:val="003B177B"/>
    <w:pPr>
      <w:tabs>
        <w:tab w:val="clear" w:pos="567"/>
      </w:tabs>
      <w:spacing w:line="240" w:lineRule="auto"/>
    </w:pPr>
  </w:style>
  <w:style w:type="paragraph" w:customStyle="1" w:styleId="Annex">
    <w:name w:val="Annex"/>
    <w:basedOn w:val="Normln"/>
    <w:next w:val="Normln"/>
    <w:rsid w:val="006C1C18"/>
    <w:pPr>
      <w:jc w:val="center"/>
    </w:pPr>
    <w:rPr>
      <w:b/>
    </w:rPr>
  </w:style>
  <w:style w:type="character" w:styleId="slostrnky">
    <w:name w:val="page number"/>
    <w:rsid w:val="006C1C18"/>
    <w:rPr>
      <w:rFonts w:ascii="Arial" w:hAnsi="Arial"/>
      <w:noProof/>
      <w:sz w:val="16"/>
    </w:rPr>
  </w:style>
  <w:style w:type="paragraph" w:customStyle="1" w:styleId="Description">
    <w:name w:val="Description"/>
    <w:basedOn w:val="Normln"/>
    <w:next w:val="Normln"/>
    <w:rsid w:val="006C1C18"/>
  </w:style>
  <w:style w:type="paragraph" w:customStyle="1" w:styleId="HangingIndent">
    <w:name w:val="Hanging Indent"/>
    <w:basedOn w:val="Normln"/>
    <w:rsid w:val="006C1C18"/>
    <w:pPr>
      <w:ind w:left="567" w:hanging="567"/>
    </w:pPr>
  </w:style>
  <w:style w:type="paragraph" w:customStyle="1" w:styleId="AnnexHeading">
    <w:name w:val="Annex Heading"/>
    <w:basedOn w:val="Normln"/>
    <w:next w:val="Normln"/>
    <w:rsid w:val="006C1C18"/>
    <w:pPr>
      <w:ind w:left="567" w:hanging="567"/>
    </w:pPr>
    <w:rPr>
      <w:b/>
    </w:rPr>
  </w:style>
  <w:style w:type="character" w:styleId="Hypertextovodkaz">
    <w:name w:val="Hyperlink"/>
    <w:rsid w:val="007E4D62"/>
    <w:rPr>
      <w:noProof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ukl.cz/nahlasit-nezadouci-ucinek" TargetMode="External"/><Relationship Id="rId17" Type="http://schemas.openxmlformats.org/officeDocument/2006/relationships/hyperlink" Target="http://www.ema.europa.e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outkm\AppData\Roaming\Microsoft\Templates\SPC_10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PublishExpirationDateTime xmlns="9fd6abbd-6db2-4b48-94fc-e57628443064" xsi:nil="true"/>
    <Published_x0020_By xmlns="9fd6abbd-6db2-4b48-94fc-e57628443064" xsi:nil="true"/>
    <TaxCatchAll xmlns="f191ad30-9ade-4f0c-b78e-cf30469879ae">
      <Value>255</Value>
    </TaxCatchAll>
    <Shared_x0020_By xmlns="9fd6abbd-6db2-4b48-94fc-e57628443064" xsi:nil="true"/>
    <ShareExpirationDateTime xmlns="9fd6abbd-6db2-4b48-94fc-e57628443064" xsi:nil="true"/>
    <IconOverlay xmlns="http://schemas.microsoft.com/sharepoint/v4" xsi:nil="true"/>
    <Share xmlns="9fd6abbd-6db2-4b48-94fc-e57628443064" xsi:nil="true"/>
    <Document_x0020_Status xmlns="9fd6abbd-6db2-4b48-94fc-e57628443064">Draft</Document_x0020_Status>
    <URL xmlns="http://schemas.microsoft.com/sharepoint/v3">
      <Url xsi:nil="true"/>
      <Description xsi:nil="true"/>
    </URL>
    <TaxKeywordTaxHTField xmlns="9fd6abbd-6db2-4b48-94fc-e576284430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Evrysdy - D210 PI-cs</TermName>
          <TermId xmlns="http://schemas.microsoft.com/office/infopath/2007/PartnerControls">5b299311-46d1-4815-bab6-8b6e374d767d</TermId>
        </TermInfo>
      </Terms>
    </TaxKeywordTaxHTField>
    <Geographical_x0020_Scope xmlns="9fd6abbd-6db2-4b48-94fc-e57628443064" xsi:nil="true"/>
    <Collaboration xmlns="9fd6abbd-6db2-4b48-94fc-e57628443064" xsi:nil="true"/>
    <_dlc_ExpireDateSaved xmlns="http://schemas.microsoft.com/sharepoint/v3" xsi:nil="true"/>
    <_dlc_ExpireDate xmlns="http://schemas.microsoft.com/sharepoint/v3">2031-11-30T23:00:00+00:00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44D361494C3409394A96F3E1C3F7E" ma:contentTypeVersion="20" ma:contentTypeDescription="Create a new document." ma:contentTypeScope="" ma:versionID="395796dcd4c50a50094aba159eaf9f62">
  <xsd:schema xmlns:xsd="http://www.w3.org/2001/XMLSchema" xmlns:xs="http://www.w3.org/2001/XMLSchema" xmlns:p="http://schemas.microsoft.com/office/2006/metadata/properties" xmlns:ns1="http://schemas.microsoft.com/sharepoint/v3" xmlns:ns2="9fd6abbd-6db2-4b48-94fc-e57628443064" xmlns:ns4="f191ad30-9ade-4f0c-b78e-cf30469879ae" xmlns:ns5="http://schemas.microsoft.com/sharepoint/v4" targetNamespace="http://schemas.microsoft.com/office/2006/metadata/properties" ma:root="true" ma:fieldsID="11b76a51aa8b35613b910003915cd5af" ns1:_="" ns2:_="" ns4:_="" ns5:_="">
    <xsd:import namespace="http://schemas.microsoft.com/sharepoint/v3"/>
    <xsd:import namespace="9fd6abbd-6db2-4b48-94fc-e57628443064"/>
    <xsd:import namespace="f191ad30-9ade-4f0c-b78e-cf30469879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Geographical_x0020_Scope" minOccurs="0"/>
                <xsd:element ref="ns1:Language" minOccurs="0"/>
                <xsd:element ref="ns1:URL" minOccurs="0"/>
                <xsd:element ref="ns2:Share" minOccurs="0"/>
                <xsd:element ref="ns2:Collaboration" minOccurs="0"/>
                <xsd:element ref="ns2:Published_x0020_By" minOccurs="0"/>
                <xsd:element ref="ns2:PublishExpirationDateTime" minOccurs="0"/>
                <xsd:element ref="ns2:Shared_x0020_By" minOccurs="0"/>
                <xsd:element ref="ns2:ShareExpirationDateTim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4:TaxCatchAll" minOccurs="0"/>
                <xsd:element ref="ns1:_vti_ItemDeclaredRecord" minOccurs="0"/>
                <xsd:element ref="ns1:_vti_ItemHoldRecordStatu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English" ma:internalName="Languag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abbd-6db2-4b48-94fc-e5762844306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default="Draft" ma:description="Status of document" ma:format="Dropdown" ma:internalName="Document_x0020_Status">
      <xsd:simpleType>
        <xsd:restriction base="dms:Choice">
          <xsd:enumeration value="Draft"/>
          <xsd:enumeration value="Final"/>
          <xsd:enumeration value="Published"/>
          <xsd:enumeration value="Expired"/>
        </xsd:restriction>
      </xsd:simpleType>
    </xsd:element>
    <xsd:element name="Geographical_x0020_Scope" ma:index="9" nillable="true" ma:displayName="Geographical Scope" ma:description="Geographical Scope" ma:format="Dropdown" ma:internalName="Geographical_x0020_Scope">
      <xsd:simpleType>
        <xsd:restriction base="dms:Choice">
          <xsd:enumeration value="Local"/>
          <xsd:enumeration value="Regional"/>
          <xsd:enumeration value="Global"/>
        </xsd:restriction>
      </xsd:simpleType>
    </xsd:element>
    <xsd:element name="Share" ma:index="13" nillable="true" ma:displayName="Share" ma:internalName="Share">
      <xsd:simpleType>
        <xsd:restriction base="dms:Unknown">
          <xsd:enumeration value="Published"/>
          <xsd:enumeration value="Shared"/>
        </xsd:restriction>
      </xsd:simpleType>
    </xsd:element>
    <xsd:element name="Collaboration" ma:index="14" nillable="true" ma:displayName="Collaboration" ma:internalName="Collaboration">
      <xsd:simpleType>
        <xsd:restriction base="dms:Unknown"/>
      </xsd:simpleType>
    </xsd:element>
    <xsd:element name="Published_x0020_By" ma:index="15" nillable="true" ma:displayName="Published By" ma:internalName="Published_x0020_By">
      <xsd:simpleType>
        <xsd:restriction base="dms:Text"/>
      </xsd:simpleType>
    </xsd:element>
    <xsd:element name="PublishExpirationDateTime" ma:index="16" nillable="true" ma:displayName="PublishExpirationDateTime" ma:internalName="PublishExpirationDateTime">
      <xsd:simpleType>
        <xsd:restriction base="dms:DateTime"/>
      </xsd:simpleType>
    </xsd:element>
    <xsd:element name="Shared_x0020_By" ma:index="17" nillable="true" ma:displayName="Shared By" ma:internalName="Shared_x0020_By">
      <xsd:simpleType>
        <xsd:restriction base="dms:Text"/>
      </xsd:simpleType>
    </xsd:element>
    <xsd:element name="ShareExpirationDateTime" ma:index="18" nillable="true" ma:displayName="ShareExpirationDateTime" ma:internalName="ShareExpirationDateTime">
      <xsd:simpleType>
        <xsd:restriction base="dms:DateTime"/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c874e2-b4cb-443a-84e5-d2d8b6259c95}" ma:internalName="TaxCatchAll" ma:showField="CatchAllData" ma:web="9fd6abbd-6db2-4b48-94fc-e57628443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0981-6BDF-4AAF-A3C7-4710BDE2FF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6abbd-6db2-4b48-94fc-e57628443064"/>
    <ds:schemaRef ds:uri="f191ad30-9ade-4f0c-b78e-cf30469879a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401A01C-F46A-4C3F-A7E2-32D6F97F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d6abbd-6db2-4b48-94fc-e57628443064"/>
    <ds:schemaRef ds:uri="f191ad30-9ade-4f0c-b78e-cf30469879a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6F784-2060-4043-990E-BFDCF5DD4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E7726-A2B9-40AA-8540-57326B8B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SPC_10H</Template>
  <TotalTime>1</TotalTime>
  <Pages>18</Pages>
  <Words>5582</Words>
  <Characters>32934</Characters>
  <Application>Microsoft Office Word</Application>
  <DocSecurity>0</DocSecurity>
  <Lines>274</Lines>
  <Paragraphs>76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Evrysdy - D210 PI-cs</vt:lpstr>
      <vt:lpstr>Evrysdy - D210 PI-cs</vt:lpstr>
    </vt:vector>
  </TitlesOfParts>
  <Company>EMEA</Company>
  <LinksUpToDate>false</LinksUpToDate>
  <CharactersWithSpaces>38440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Evrysdy - D210 PI-cs</dc:title>
  <dc:subject>EPAR</dc:subject>
  <dc:creator>CHMP</dc:creator>
  <cp:keywords>Evrysdy - D210 PI-cs</cp:keywords>
  <dc:description>Version 10.0 02/2016_x000d_
Downloaded 110516 (cs)</dc:description>
  <cp:lastModifiedBy>Jancarikova, Jitka {MWJC~Prague}</cp:lastModifiedBy>
  <cp:revision>2</cp:revision>
  <dcterms:created xsi:type="dcterms:W3CDTF">2021-04-09T08:41:00Z</dcterms:created>
  <dcterms:modified xsi:type="dcterms:W3CDTF">2021-04-09T08:41:00Z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0x010100E4B44D361494C3409394A96F3E1C3F7E</vt:lpwstr>
  </property>
  <property fmtid="{D5CDD505-2E9C-101B-9397-08002B2CF9AE}" pid="3" name="_dlc_policyId">
    <vt:lpwstr>/team/2012370e/EU Annexes Activities/TeamDocuments</vt:lpwstr>
  </property>
  <property fmtid="{D5CDD505-2E9C-101B-9397-08002B2CF9AE}" pid="4" name="ItemRetentionFormula">
    <vt:lpwstr>&lt;formula id="Roche.Common.Coremap.ExpirationFormula" /&gt;</vt:lpwstr>
  </property>
  <property fmtid="{D5CDD505-2E9C-101B-9397-08002B2CF9AE}" pid="5" name="TaxKeyword">
    <vt:lpwstr>255;#Evrysdy - D210 PI-cs|5b299311-46d1-4815-bab6-8b6e374d767d</vt:lpwstr>
  </property>
  <property fmtid="{D5CDD505-2E9C-101B-9397-08002B2CF9AE}" pid="6" name="Template Version">
    <vt:lpwstr>1.4</vt:lpwstr>
  </property>
</Properties>
</file>